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
        <w:gridCol w:w="440"/>
        <w:gridCol w:w="1708"/>
        <w:gridCol w:w="8164"/>
      </w:tblGrid>
      <w:tr w:rsidR="004B67BF" w14:paraId="26CFF421" w14:textId="77777777" w:rsidTr="008C0DD4">
        <w:trPr>
          <w:cantSplit/>
        </w:trPr>
        <w:tc>
          <w:tcPr>
            <w:tcW w:w="2642" w:type="dxa"/>
            <w:gridSpan w:val="4"/>
            <w:tcBorders>
              <w:bottom w:val="single" w:sz="36" w:space="0" w:color="auto"/>
            </w:tcBorders>
          </w:tcPr>
          <w:p w14:paraId="56C8621B" w14:textId="77777777" w:rsidR="004B67BF" w:rsidRPr="003841F7" w:rsidRDefault="004B67BF" w:rsidP="004D2B6B">
            <w:pPr>
              <w:pStyle w:val="ChecklistBasis"/>
              <w:rPr>
                <w:b/>
                <w:color w:val="040404"/>
              </w:rPr>
            </w:pPr>
            <w:r>
              <w:rPr>
                <w:b/>
                <w:color w:val="040404"/>
              </w:rPr>
              <w:t>IRB Number</w:t>
            </w:r>
          </w:p>
        </w:tc>
        <w:tc>
          <w:tcPr>
            <w:tcW w:w="8374" w:type="dxa"/>
            <w:tcBorders>
              <w:bottom w:val="single" w:sz="36" w:space="0" w:color="auto"/>
            </w:tcBorders>
          </w:tcPr>
          <w:p w14:paraId="606892AE" w14:textId="77777777" w:rsidR="004B67BF" w:rsidRPr="001557BE" w:rsidRDefault="004B67BF" w:rsidP="004D2B6B">
            <w:pPr>
              <w:pStyle w:val="ChecklistBasis"/>
              <w:rPr>
                <w:bCs/>
                <w:color w:val="040404"/>
              </w:rPr>
            </w:pPr>
            <w:r w:rsidRPr="001557BE">
              <w:rPr>
                <w:bCs/>
                <w:color w:val="040404"/>
              </w:rPr>
              <w:fldChar w:fldCharType="begin">
                <w:ffData>
                  <w:name w:val="Text1"/>
                  <w:enabled/>
                  <w:calcOnExit w:val="0"/>
                  <w:textInput/>
                </w:ffData>
              </w:fldChar>
            </w:r>
            <w:r w:rsidRPr="001557BE">
              <w:rPr>
                <w:bCs/>
                <w:color w:val="040404"/>
              </w:rPr>
              <w:instrText xml:space="preserve"> FORMTEXT </w:instrText>
            </w:r>
            <w:r w:rsidRPr="001557BE">
              <w:rPr>
                <w:bCs/>
                <w:color w:val="040404"/>
              </w:rPr>
            </w:r>
            <w:r w:rsidRPr="001557BE">
              <w:rPr>
                <w:bCs/>
                <w:color w:val="040404"/>
              </w:rPr>
              <w:fldChar w:fldCharType="separate"/>
            </w:r>
            <w:r w:rsidRPr="001557BE">
              <w:rPr>
                <w:bCs/>
                <w:color w:val="040404"/>
              </w:rPr>
              <w:t> </w:t>
            </w:r>
            <w:r w:rsidRPr="001557BE">
              <w:rPr>
                <w:bCs/>
                <w:color w:val="040404"/>
              </w:rPr>
              <w:t> </w:t>
            </w:r>
            <w:r w:rsidRPr="001557BE">
              <w:rPr>
                <w:bCs/>
                <w:color w:val="040404"/>
              </w:rPr>
              <w:t> </w:t>
            </w:r>
            <w:r w:rsidRPr="001557BE">
              <w:rPr>
                <w:bCs/>
                <w:color w:val="040404"/>
              </w:rPr>
              <w:t> </w:t>
            </w:r>
            <w:r w:rsidRPr="001557BE">
              <w:rPr>
                <w:bCs/>
                <w:color w:val="040404"/>
              </w:rPr>
              <w:t> </w:t>
            </w:r>
            <w:r w:rsidRPr="001557BE">
              <w:rPr>
                <w:bCs/>
                <w:color w:val="040404"/>
              </w:rPr>
              <w:fldChar w:fldCharType="end"/>
            </w:r>
          </w:p>
        </w:tc>
      </w:tr>
      <w:tr w:rsidR="007A2C52" w:rsidRPr="00744F5E" w14:paraId="1F7AFD59" w14:textId="77777777" w:rsidTr="008C0DD4">
        <w:trPr>
          <w:trHeight w:hRule="exact" w:val="72"/>
        </w:trPr>
        <w:tc>
          <w:tcPr>
            <w:tcW w:w="11016" w:type="dxa"/>
            <w:gridSpan w:val="5"/>
            <w:shd w:val="clear" w:color="auto" w:fill="000000"/>
          </w:tcPr>
          <w:p w14:paraId="12D56471" w14:textId="77777777" w:rsidR="007A2C52" w:rsidRPr="001557BE" w:rsidRDefault="007A2C52" w:rsidP="00995DBF">
            <w:pPr>
              <w:rPr>
                <w:bCs/>
              </w:rPr>
            </w:pPr>
          </w:p>
        </w:tc>
      </w:tr>
      <w:tr w:rsidR="00C540A3" w:rsidRPr="00744F5E" w14:paraId="1A226BEC" w14:textId="77777777" w:rsidTr="008C0DD4">
        <w:trPr>
          <w:trHeight w:hRule="exact" w:val="72"/>
        </w:trPr>
        <w:tc>
          <w:tcPr>
            <w:tcW w:w="11016" w:type="dxa"/>
            <w:gridSpan w:val="5"/>
            <w:shd w:val="clear" w:color="auto" w:fill="000000"/>
          </w:tcPr>
          <w:p w14:paraId="4C55FEF2" w14:textId="77777777" w:rsidR="00C540A3" w:rsidRPr="001557BE" w:rsidRDefault="00C540A3" w:rsidP="00995DBF">
            <w:pPr>
              <w:rPr>
                <w:bCs/>
              </w:rPr>
            </w:pPr>
          </w:p>
        </w:tc>
      </w:tr>
      <w:tr w:rsidR="00B82B21" w14:paraId="0FA6197D" w14:textId="77777777" w:rsidTr="008C0DD4">
        <w:tc>
          <w:tcPr>
            <w:tcW w:w="11016" w:type="dxa"/>
            <w:gridSpan w:val="5"/>
          </w:tcPr>
          <w:p w14:paraId="359306B1" w14:textId="77777777" w:rsidR="008E0805" w:rsidRPr="001557BE" w:rsidRDefault="008E0805" w:rsidP="008E0805">
            <w:pPr>
              <w:pStyle w:val="ChecklistLevel1"/>
              <w:numPr>
                <w:ilvl w:val="0"/>
                <w:numId w:val="0"/>
              </w:numPr>
              <w:tabs>
                <w:tab w:val="clear" w:pos="360"/>
                <w:tab w:val="left" w:pos="0"/>
              </w:tabs>
              <w:rPr>
                <w:b w:val="0"/>
                <w:bCs/>
              </w:rPr>
            </w:pPr>
            <w:r w:rsidRPr="001557BE">
              <w:rPr>
                <w:b w:val="0"/>
                <w:bCs/>
              </w:rPr>
              <w:t xml:space="preserve">The purpose of this worksheet is to provide support for the </w:t>
            </w:r>
            <w:r w:rsidR="00C967E8" w:rsidRPr="001557BE">
              <w:rPr>
                <w:b w:val="0"/>
                <w:bCs/>
              </w:rPr>
              <w:t xml:space="preserve">research community, </w:t>
            </w:r>
            <w:r w:rsidRPr="001557BE">
              <w:rPr>
                <w:b w:val="0"/>
                <w:bCs/>
              </w:rPr>
              <w:t>convened IRB or Designated Re</w:t>
            </w:r>
            <w:r w:rsidR="009E5DFE" w:rsidRPr="001557BE">
              <w:rPr>
                <w:b w:val="0"/>
                <w:bCs/>
              </w:rPr>
              <w:t>viewers when conducting research in one of the countries of the European Economic Area.</w:t>
            </w:r>
            <w:r w:rsidRPr="001557BE">
              <w:rPr>
                <w:b w:val="0"/>
                <w:bCs/>
              </w:rPr>
              <w:t xml:space="preserve"> This worksheet may be used for guidance and does not have to be completed or retained.</w:t>
            </w:r>
          </w:p>
          <w:p w14:paraId="6474727D" w14:textId="77777777" w:rsidR="00B82B21" w:rsidRPr="001557BE" w:rsidRDefault="00B82B21" w:rsidP="00B82B21">
            <w:pPr>
              <w:pStyle w:val="ChecklistLevel1"/>
              <w:numPr>
                <w:ilvl w:val="0"/>
                <w:numId w:val="0"/>
              </w:numPr>
              <w:tabs>
                <w:tab w:val="clear" w:pos="360"/>
                <w:tab w:val="left" w:pos="720"/>
              </w:tabs>
              <w:ind w:left="720" w:hanging="720"/>
              <w:rPr>
                <w:b w:val="0"/>
                <w:bCs/>
              </w:rPr>
            </w:pPr>
            <w:r w:rsidRPr="001557BE">
              <w:rPr>
                <w:b w:val="0"/>
                <w:bCs/>
              </w:rPr>
              <w:t xml:space="preserve">Note:  Section 1 should be considered when drafting </w:t>
            </w:r>
            <w:r w:rsidR="009C6800" w:rsidRPr="001557BE">
              <w:rPr>
                <w:b w:val="0"/>
                <w:bCs/>
              </w:rPr>
              <w:t>the Letter of Information and the Consent Document</w:t>
            </w:r>
            <w:r w:rsidRPr="001557BE">
              <w:rPr>
                <w:b w:val="0"/>
                <w:bCs/>
              </w:rPr>
              <w:t xml:space="preserve">. </w:t>
            </w:r>
          </w:p>
          <w:p w14:paraId="62591C78" w14:textId="77777777" w:rsidR="00B82B21" w:rsidRPr="001557BE" w:rsidRDefault="00B82B21" w:rsidP="007E7C27">
            <w:pPr>
              <w:pStyle w:val="ChecklistLevel1"/>
              <w:numPr>
                <w:ilvl w:val="0"/>
                <w:numId w:val="0"/>
              </w:numPr>
              <w:tabs>
                <w:tab w:val="clear" w:pos="360"/>
                <w:tab w:val="left" w:pos="540"/>
              </w:tabs>
              <w:ind w:left="540" w:hanging="540"/>
              <w:rPr>
                <w:b w:val="0"/>
                <w:bCs/>
              </w:rPr>
            </w:pPr>
            <w:r w:rsidRPr="001557BE">
              <w:rPr>
                <w:b w:val="0"/>
                <w:bCs/>
              </w:rPr>
              <w:t xml:space="preserve">           Sections 2 to</w:t>
            </w:r>
            <w:r w:rsidR="007E7C27" w:rsidRPr="001557BE">
              <w:rPr>
                <w:b w:val="0"/>
                <w:bCs/>
              </w:rPr>
              <w:t xml:space="preserve"> 4</w:t>
            </w:r>
            <w:r w:rsidRPr="001557BE">
              <w:rPr>
                <w:b w:val="0"/>
                <w:bCs/>
              </w:rPr>
              <w:t xml:space="preserve"> should be considered when completing the sections in the</w:t>
            </w:r>
            <w:r w:rsidR="007E7C27" w:rsidRPr="001557BE">
              <w:rPr>
                <w:b w:val="0"/>
                <w:bCs/>
              </w:rPr>
              <w:t xml:space="preserve"> protocol template for submission in</w:t>
            </w:r>
            <w:r w:rsidRPr="001557BE">
              <w:rPr>
                <w:b w:val="0"/>
                <w:bCs/>
              </w:rPr>
              <w:t xml:space="preserve"> eIRB+ </w:t>
            </w:r>
            <w:r w:rsidR="007E7C27" w:rsidRPr="001557BE">
              <w:rPr>
                <w:b w:val="0"/>
                <w:bCs/>
              </w:rPr>
              <w:t>w</w:t>
            </w:r>
            <w:r w:rsidRPr="001557BE">
              <w:rPr>
                <w:b w:val="0"/>
                <w:bCs/>
              </w:rPr>
              <w:t xml:space="preserve">hich refer to the collection, management, </w:t>
            </w:r>
            <w:proofErr w:type="gramStart"/>
            <w:r w:rsidRPr="001557BE">
              <w:rPr>
                <w:b w:val="0"/>
                <w:bCs/>
              </w:rPr>
              <w:t>protection</w:t>
            </w:r>
            <w:proofErr w:type="gramEnd"/>
            <w:r w:rsidRPr="001557BE">
              <w:rPr>
                <w:b w:val="0"/>
                <w:bCs/>
              </w:rPr>
              <w:t xml:space="preserve"> and ongoing handling of personal and other research data.</w:t>
            </w:r>
          </w:p>
        </w:tc>
      </w:tr>
      <w:tr w:rsidR="007A2C52" w14:paraId="315666EE" w14:textId="77777777" w:rsidTr="008C0DD4">
        <w:tc>
          <w:tcPr>
            <w:tcW w:w="11016" w:type="dxa"/>
            <w:gridSpan w:val="5"/>
          </w:tcPr>
          <w:p w14:paraId="722C877B" w14:textId="77777777" w:rsidR="007A2C52" w:rsidRPr="001557BE" w:rsidRDefault="00C34714" w:rsidP="00C34714">
            <w:pPr>
              <w:pStyle w:val="ChecklistLevel1"/>
              <w:rPr>
                <w:b w:val="0"/>
                <w:bCs/>
              </w:rPr>
            </w:pPr>
            <w:r w:rsidRPr="001557BE">
              <w:rPr>
                <w:b w:val="0"/>
                <w:bCs/>
              </w:rPr>
              <w:t xml:space="preserve">Transparency:  The information to be provided to participants </w:t>
            </w:r>
            <w:r w:rsidR="00BF729D" w:rsidRPr="001557BE">
              <w:rPr>
                <w:b w:val="0"/>
                <w:bCs/>
              </w:rPr>
              <w:t xml:space="preserve">in the Letter of Information and the Consent </w:t>
            </w:r>
            <w:r w:rsidR="00366646" w:rsidRPr="001557BE">
              <w:rPr>
                <w:b w:val="0"/>
                <w:bCs/>
              </w:rPr>
              <w:t xml:space="preserve">Document </w:t>
            </w:r>
            <w:r w:rsidRPr="001557BE">
              <w:rPr>
                <w:b w:val="0"/>
                <w:bCs/>
              </w:rPr>
              <w:t>indicates:</w:t>
            </w:r>
          </w:p>
        </w:tc>
      </w:tr>
      <w:tr w:rsidR="007A2C52" w14:paraId="10518585" w14:textId="77777777" w:rsidTr="008C0DD4">
        <w:tc>
          <w:tcPr>
            <w:tcW w:w="478" w:type="dxa"/>
            <w:gridSpan w:val="2"/>
          </w:tcPr>
          <w:p w14:paraId="5AB78C01" w14:textId="77777777" w:rsidR="007A2C52" w:rsidRPr="00EB4707" w:rsidRDefault="007A2C52" w:rsidP="00D07AD8">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4E82F082" w14:textId="77777777" w:rsidR="007A2C52" w:rsidRPr="001557BE" w:rsidRDefault="00D21E07" w:rsidP="00386207">
            <w:pPr>
              <w:pStyle w:val="StatementLevel1"/>
              <w:rPr>
                <w:rFonts w:cs="Arial Narrow"/>
                <w:bCs/>
              </w:rPr>
            </w:pPr>
            <w:r w:rsidRPr="001557BE">
              <w:rPr>
                <w:bCs/>
              </w:rPr>
              <w:t>T</w:t>
            </w:r>
            <w:r w:rsidR="00E83F23" w:rsidRPr="001557BE">
              <w:rPr>
                <w:bCs/>
              </w:rPr>
              <w:t xml:space="preserve">he purposes for which the </w:t>
            </w:r>
            <w:r w:rsidR="00C34714" w:rsidRPr="001557BE">
              <w:rPr>
                <w:bCs/>
              </w:rPr>
              <w:t>personal data/special category data will be processed</w:t>
            </w:r>
            <w:r w:rsidR="00BF729D" w:rsidRPr="001557BE">
              <w:rPr>
                <w:bCs/>
              </w:rPr>
              <w:t>.</w:t>
            </w:r>
          </w:p>
        </w:tc>
      </w:tr>
      <w:tr w:rsidR="00386207" w14:paraId="6486FE26" w14:textId="77777777" w:rsidTr="008C0DD4">
        <w:tc>
          <w:tcPr>
            <w:tcW w:w="478" w:type="dxa"/>
            <w:gridSpan w:val="2"/>
          </w:tcPr>
          <w:p w14:paraId="227BEE13" w14:textId="77777777" w:rsidR="00386207" w:rsidRPr="00EB4707" w:rsidRDefault="00386207" w:rsidP="00386207">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07690F92" w14:textId="77777777" w:rsidR="00386207" w:rsidRPr="001557BE" w:rsidRDefault="00D21E07" w:rsidP="00386207">
            <w:pPr>
              <w:rPr>
                <w:rFonts w:ascii="Arial Narrow" w:hAnsi="Arial Narrow" w:cs="Arial"/>
                <w:bCs/>
                <w:sz w:val="20"/>
                <w:szCs w:val="20"/>
              </w:rPr>
            </w:pPr>
            <w:r w:rsidRPr="001557BE">
              <w:rPr>
                <w:rFonts w:ascii="Arial Narrow" w:hAnsi="Arial Narrow" w:cs="Arial"/>
                <w:bCs/>
                <w:sz w:val="20"/>
                <w:szCs w:val="20"/>
              </w:rPr>
              <w:t>T</w:t>
            </w:r>
            <w:r w:rsidR="00C34714" w:rsidRPr="001557BE">
              <w:rPr>
                <w:rFonts w:ascii="Arial Narrow" w:hAnsi="Arial Narrow" w:cs="Arial"/>
                <w:bCs/>
                <w:sz w:val="20"/>
                <w:szCs w:val="20"/>
              </w:rPr>
              <w:t xml:space="preserve">he people or organizations </w:t>
            </w:r>
            <w:r w:rsidRPr="001557BE">
              <w:rPr>
                <w:rFonts w:ascii="Arial Narrow" w:hAnsi="Arial Narrow" w:cs="Arial"/>
                <w:bCs/>
                <w:sz w:val="20"/>
                <w:szCs w:val="20"/>
              </w:rPr>
              <w:t xml:space="preserve">with whom </w:t>
            </w:r>
            <w:r w:rsidR="00E83F23" w:rsidRPr="001557BE">
              <w:rPr>
                <w:rFonts w:ascii="Arial Narrow" w:hAnsi="Arial Narrow" w:cs="Arial"/>
                <w:bCs/>
                <w:sz w:val="20"/>
                <w:szCs w:val="20"/>
              </w:rPr>
              <w:t>the</w:t>
            </w:r>
            <w:r w:rsidR="00C34714" w:rsidRPr="001557BE">
              <w:rPr>
                <w:rFonts w:ascii="Arial Narrow" w:hAnsi="Arial Narrow" w:cs="Arial"/>
                <w:bCs/>
                <w:sz w:val="20"/>
                <w:szCs w:val="20"/>
              </w:rPr>
              <w:t xml:space="preserve"> personal data/special category data will be shared</w:t>
            </w:r>
            <w:r w:rsidRPr="001557BE">
              <w:rPr>
                <w:rFonts w:ascii="Arial Narrow" w:hAnsi="Arial Narrow" w:cs="Arial"/>
                <w:bCs/>
                <w:sz w:val="20"/>
                <w:szCs w:val="20"/>
              </w:rPr>
              <w:t>.</w:t>
            </w:r>
          </w:p>
        </w:tc>
      </w:tr>
      <w:tr w:rsidR="00D07AD8" w14:paraId="103857D6" w14:textId="77777777" w:rsidTr="008C0DD4">
        <w:tc>
          <w:tcPr>
            <w:tcW w:w="478" w:type="dxa"/>
            <w:gridSpan w:val="2"/>
          </w:tcPr>
          <w:p w14:paraId="29D0D4CB" w14:textId="77777777"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4B80332E" w14:textId="77777777" w:rsidR="00D07AD8" w:rsidRPr="001557BE" w:rsidRDefault="00D21E07" w:rsidP="00C34714">
            <w:pPr>
              <w:pStyle w:val="StatementLevel1"/>
              <w:rPr>
                <w:bCs/>
              </w:rPr>
            </w:pPr>
            <w:r w:rsidRPr="001557BE">
              <w:rPr>
                <w:bCs/>
              </w:rPr>
              <w:t>T</w:t>
            </w:r>
            <w:r w:rsidR="00C34714" w:rsidRPr="001557BE">
              <w:rPr>
                <w:bCs/>
              </w:rPr>
              <w:t>he legal b</w:t>
            </w:r>
            <w:r w:rsidR="00E83F23" w:rsidRPr="001557BE">
              <w:rPr>
                <w:bCs/>
              </w:rPr>
              <w:t>asis for the processing of the</w:t>
            </w:r>
            <w:r w:rsidR="00C34714" w:rsidRPr="001557BE">
              <w:rPr>
                <w:bCs/>
              </w:rPr>
              <w:t xml:space="preserve"> pers</w:t>
            </w:r>
            <w:r w:rsidRPr="001557BE">
              <w:rPr>
                <w:bCs/>
              </w:rPr>
              <w:t xml:space="preserve">onal data/special category data. </w:t>
            </w:r>
            <w:r w:rsidR="00C34714" w:rsidRPr="001557BE">
              <w:rPr>
                <w:bCs/>
              </w:rPr>
              <w:t xml:space="preserve"> Note: For </w:t>
            </w:r>
            <w:proofErr w:type="gramStart"/>
            <w:r w:rsidR="00C34714" w:rsidRPr="001557BE">
              <w:rPr>
                <w:bCs/>
              </w:rPr>
              <w:t>the majority of</w:t>
            </w:r>
            <w:proofErr w:type="gramEnd"/>
            <w:r w:rsidR="00C34714" w:rsidRPr="001557BE">
              <w:rPr>
                <w:bCs/>
              </w:rPr>
              <w:t xml:space="preserve"> human research, it is typical that 'public interest' is the appropriate legal basis.</w:t>
            </w:r>
          </w:p>
        </w:tc>
      </w:tr>
      <w:tr w:rsidR="00D07AD8" w14:paraId="319030D5" w14:textId="77777777" w:rsidTr="008C0DD4">
        <w:tc>
          <w:tcPr>
            <w:tcW w:w="478" w:type="dxa"/>
            <w:gridSpan w:val="2"/>
          </w:tcPr>
          <w:p w14:paraId="5C8E6456" w14:textId="77777777"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5DAC2EE7" w14:textId="77777777" w:rsidR="00D07AD8" w:rsidRPr="001557BE" w:rsidRDefault="00D21E07" w:rsidP="007A2C52">
            <w:pPr>
              <w:pStyle w:val="StatementLevel1"/>
              <w:rPr>
                <w:bCs/>
              </w:rPr>
            </w:pPr>
            <w:r w:rsidRPr="001557BE">
              <w:rPr>
                <w:bCs/>
              </w:rPr>
              <w:t xml:space="preserve">Any international transfers of their personal data/special category data. </w:t>
            </w:r>
            <w:r w:rsidR="00386207" w:rsidRPr="001557BE">
              <w:rPr>
                <w:bCs/>
              </w:rPr>
              <w:t xml:space="preserve">N/A: </w:t>
            </w:r>
            <w:r w:rsidR="00386207" w:rsidRPr="001557BE">
              <w:rPr>
                <w:bCs/>
              </w:rPr>
              <w:fldChar w:fldCharType="begin">
                <w:ffData>
                  <w:name w:val="Check1"/>
                  <w:enabled/>
                  <w:calcOnExit w:val="0"/>
                  <w:checkBox>
                    <w:sizeAuto/>
                    <w:default w:val="0"/>
                  </w:checkBox>
                </w:ffData>
              </w:fldChar>
            </w:r>
            <w:r w:rsidR="00386207" w:rsidRPr="001557BE">
              <w:rPr>
                <w:bCs/>
              </w:rPr>
              <w:instrText xml:space="preserve"> FORMCHECKBOX </w:instrText>
            </w:r>
            <w:r w:rsidR="00B4283A">
              <w:rPr>
                <w:bCs/>
              </w:rPr>
            </w:r>
            <w:r w:rsidR="00B4283A">
              <w:rPr>
                <w:bCs/>
              </w:rPr>
              <w:fldChar w:fldCharType="separate"/>
            </w:r>
            <w:r w:rsidR="00386207" w:rsidRPr="001557BE">
              <w:rPr>
                <w:bCs/>
              </w:rPr>
              <w:fldChar w:fldCharType="end"/>
            </w:r>
          </w:p>
        </w:tc>
      </w:tr>
      <w:tr w:rsidR="0022429B" w14:paraId="72753635" w14:textId="77777777" w:rsidTr="008C0DD4">
        <w:tc>
          <w:tcPr>
            <w:tcW w:w="478" w:type="dxa"/>
            <w:gridSpan w:val="2"/>
          </w:tcPr>
          <w:p w14:paraId="03AE17DA" w14:textId="77777777" w:rsidR="0022429B" w:rsidRPr="00EB4707" w:rsidRDefault="0022429B" w:rsidP="00E41274">
            <w:pPr>
              <w:pStyle w:val="Yes-No"/>
            </w:pPr>
            <w:r w:rsidRPr="0022429B">
              <w:fldChar w:fldCharType="begin">
                <w:ffData>
                  <w:name w:val="Check1"/>
                  <w:enabled/>
                  <w:calcOnExit w:val="0"/>
                  <w:checkBox>
                    <w:sizeAuto/>
                    <w:default w:val="0"/>
                  </w:checkBox>
                </w:ffData>
              </w:fldChar>
            </w:r>
            <w:r w:rsidRPr="0022429B">
              <w:instrText xml:space="preserve"> FORMCHECKBOX </w:instrText>
            </w:r>
            <w:r w:rsidR="00B4283A">
              <w:fldChar w:fldCharType="separate"/>
            </w:r>
            <w:r w:rsidRPr="0022429B">
              <w:fldChar w:fldCharType="end"/>
            </w:r>
          </w:p>
        </w:tc>
        <w:tc>
          <w:tcPr>
            <w:tcW w:w="10538" w:type="dxa"/>
            <w:gridSpan w:val="3"/>
          </w:tcPr>
          <w:p w14:paraId="48D5A9B6" w14:textId="77777777" w:rsidR="00AB318C" w:rsidRPr="001557BE" w:rsidRDefault="00E83F23" w:rsidP="00AB318C">
            <w:pPr>
              <w:pStyle w:val="StatementLevel1"/>
              <w:rPr>
                <w:bCs/>
              </w:rPr>
            </w:pPr>
            <w:r w:rsidRPr="001557BE">
              <w:rPr>
                <w:bCs/>
              </w:rPr>
              <w:t>When the</w:t>
            </w:r>
            <w:r w:rsidR="0022429B" w:rsidRPr="001557BE">
              <w:rPr>
                <w:bCs/>
              </w:rPr>
              <w:t xml:space="preserve"> personal data/special category data will be erased.</w:t>
            </w:r>
          </w:p>
          <w:p w14:paraId="47DC88B4" w14:textId="77777777" w:rsidR="0022429B" w:rsidRPr="001557BE" w:rsidRDefault="0022429B" w:rsidP="00DD0A9F">
            <w:pPr>
              <w:pStyle w:val="StatementLevel1"/>
              <w:rPr>
                <w:bCs/>
              </w:rPr>
            </w:pPr>
            <w:r w:rsidRPr="001557BE">
              <w:rPr>
                <w:bCs/>
              </w:rPr>
              <w:t>Note: The GDPR requires that data is not kept as identi</w:t>
            </w:r>
            <w:r w:rsidRPr="001557BE">
              <w:rPr>
                <w:rFonts w:ascii="Times New Roman" w:hAnsi="Times New Roman"/>
                <w:bCs/>
              </w:rPr>
              <w:t>fi</w:t>
            </w:r>
            <w:r w:rsidRPr="001557BE">
              <w:rPr>
                <w:bCs/>
              </w:rPr>
              <w:t>able personal data for longer than is necessary in relation to the purposes for which it is processed. However, personal data processed solely for research purposes may be stored for longer periods, provided there are appropriate safeguards in place. This longer period is not de</w:t>
            </w:r>
            <w:r w:rsidRPr="001557BE">
              <w:rPr>
                <w:rFonts w:ascii="Times New Roman" w:hAnsi="Times New Roman"/>
                <w:bCs/>
              </w:rPr>
              <w:t>fi</w:t>
            </w:r>
            <w:r w:rsidRPr="001557BE">
              <w:rPr>
                <w:bCs/>
              </w:rPr>
              <w:t xml:space="preserve">ned in the GDPR. In addition, data retention must be compliant with the Northwestern University Data Retention </w:t>
            </w:r>
            <w:r w:rsidR="00E83F23" w:rsidRPr="001557BE">
              <w:rPr>
                <w:bCs/>
              </w:rPr>
              <w:t>Policy, which</w:t>
            </w:r>
            <w:r w:rsidRPr="001557BE">
              <w:rPr>
                <w:bCs/>
              </w:rPr>
              <w:t xml:space="preserve"> stipulates that research data and records should be retained for a minimum of three years after the end of the </w:t>
            </w:r>
            <w:r w:rsidR="00E83F23" w:rsidRPr="001557BE">
              <w:rPr>
                <w:bCs/>
              </w:rPr>
              <w:t>research</w:t>
            </w:r>
            <w:r w:rsidRPr="001557BE">
              <w:rPr>
                <w:bCs/>
              </w:rPr>
              <w:t xml:space="preserve"> or longer if required by research funders, regulators or state or local laws</w:t>
            </w:r>
            <w:r w:rsidR="00DD0A9F" w:rsidRPr="001557BE">
              <w:rPr>
                <w:bCs/>
              </w:rPr>
              <w:t>. F</w:t>
            </w:r>
            <w:r w:rsidR="00AB318C" w:rsidRPr="001557BE">
              <w:rPr>
                <w:bCs/>
              </w:rPr>
              <w:t>or NU policies see: Retention of University Records Policy (</w:t>
            </w:r>
            <w:hyperlink r:id="rId7" w:history="1">
              <w:r w:rsidR="00C967E8" w:rsidRPr="001557BE">
                <w:rPr>
                  <w:rStyle w:val="Hyperlink"/>
                  <w:bCs/>
                </w:rPr>
                <w:t>https://policies.northwestern.edu/docs/RUR_Appendix_A061913.pdf</w:t>
              </w:r>
            </w:hyperlink>
            <w:r w:rsidR="00AB318C" w:rsidRPr="001557BE">
              <w:rPr>
                <w:bCs/>
              </w:rPr>
              <w:t>) and Research Data: Ownership, Retention and Access (</w:t>
            </w:r>
            <w:hyperlink r:id="rId8" w:history="1">
              <w:r w:rsidR="00754C15" w:rsidRPr="001557BE">
                <w:rPr>
                  <w:rStyle w:val="Hyperlink"/>
                  <w:bCs/>
                </w:rPr>
                <w:t>https://cpb-us-e1.wpmucdn.com/sites.northwestern.edu/dist/4/1207/files/2020/02/research-data-policy.pdf</w:t>
              </w:r>
            </w:hyperlink>
            <w:r w:rsidR="00AB318C" w:rsidRPr="001557BE">
              <w:rPr>
                <w:bCs/>
              </w:rPr>
              <w:t>)</w:t>
            </w:r>
            <w:r w:rsidRPr="001557BE">
              <w:rPr>
                <w:bCs/>
              </w:rPr>
              <w:t>.</w:t>
            </w:r>
            <w:r w:rsidR="00AB318C" w:rsidRPr="001557BE">
              <w:rPr>
                <w:bCs/>
              </w:rPr>
              <w:t xml:space="preserve"> </w:t>
            </w:r>
            <w:r w:rsidRPr="001557BE">
              <w:rPr>
                <w:bCs/>
              </w:rPr>
              <w:t xml:space="preserve"> </w:t>
            </w:r>
          </w:p>
        </w:tc>
      </w:tr>
      <w:tr w:rsidR="008C0DD4" w:rsidRPr="00E23FD6" w14:paraId="61685E09" w14:textId="77777777" w:rsidTr="001B1163">
        <w:tc>
          <w:tcPr>
            <w:tcW w:w="468" w:type="dxa"/>
            <w:vMerge w:val="restart"/>
          </w:tcPr>
          <w:p w14:paraId="15AD80C6" w14:textId="77777777" w:rsidR="008C0DD4" w:rsidRPr="00E23FD6" w:rsidRDefault="008C0DD4" w:rsidP="001B1163">
            <w:pPr>
              <w:pStyle w:val="Yes-No"/>
            </w:pPr>
            <w:r w:rsidRPr="00E23FD6">
              <w:fldChar w:fldCharType="begin">
                <w:ffData>
                  <w:name w:val="Check1"/>
                  <w:enabled/>
                  <w:calcOnExit w:val="0"/>
                  <w:checkBox>
                    <w:sizeAuto/>
                    <w:default w:val="0"/>
                  </w:checkBox>
                </w:ffData>
              </w:fldChar>
            </w:r>
            <w:r w:rsidRPr="00E23FD6">
              <w:instrText xml:space="preserve"> FORMCHECKBOX </w:instrText>
            </w:r>
            <w:r w:rsidR="00B4283A">
              <w:fldChar w:fldCharType="separate"/>
            </w:r>
            <w:r w:rsidRPr="00E23FD6">
              <w:fldChar w:fldCharType="end"/>
            </w:r>
          </w:p>
        </w:tc>
        <w:tc>
          <w:tcPr>
            <w:tcW w:w="10548" w:type="dxa"/>
            <w:gridSpan w:val="4"/>
          </w:tcPr>
          <w:p w14:paraId="3C31E699" w14:textId="77777777" w:rsidR="008C0DD4" w:rsidRPr="001557BE" w:rsidRDefault="008C0DD4" w:rsidP="00464239">
            <w:pPr>
              <w:pStyle w:val="StatementLevel1"/>
              <w:rPr>
                <w:bCs/>
              </w:rPr>
            </w:pPr>
            <w:r w:rsidRPr="001557BE">
              <w:rPr>
                <w:bCs/>
              </w:rPr>
              <w:t>Their rights</w:t>
            </w:r>
            <w:r w:rsidR="00464239" w:rsidRPr="001557BE">
              <w:rPr>
                <w:bCs/>
              </w:rPr>
              <w:t xml:space="preserve"> in research conducted </w:t>
            </w:r>
            <w:r w:rsidRPr="001557BE">
              <w:rPr>
                <w:bCs/>
              </w:rPr>
              <w:t>under GDPR:</w:t>
            </w:r>
          </w:p>
        </w:tc>
      </w:tr>
      <w:tr w:rsidR="008C0DD4" w:rsidRPr="00E23FD6" w14:paraId="1EA13F4E" w14:textId="77777777" w:rsidTr="001B1163">
        <w:tc>
          <w:tcPr>
            <w:tcW w:w="468" w:type="dxa"/>
            <w:vMerge/>
          </w:tcPr>
          <w:p w14:paraId="7BEC7308" w14:textId="77777777" w:rsidR="008C0DD4" w:rsidRPr="00E23FD6" w:rsidRDefault="008C0DD4" w:rsidP="001B1163">
            <w:pPr>
              <w:pStyle w:val="Yes-No"/>
            </w:pPr>
          </w:p>
        </w:tc>
        <w:tc>
          <w:tcPr>
            <w:tcW w:w="450" w:type="dxa"/>
            <w:gridSpan w:val="2"/>
            <w:shd w:val="clear" w:color="auto" w:fill="auto"/>
          </w:tcPr>
          <w:p w14:paraId="3905EC19" w14:textId="77777777" w:rsidR="008C0DD4" w:rsidRPr="00E23FD6" w:rsidRDefault="008C0DD4" w:rsidP="001B1163">
            <w:pPr>
              <w:pStyle w:val="Yes-No"/>
            </w:pPr>
            <w:r w:rsidRPr="00E23FD6">
              <w:fldChar w:fldCharType="begin">
                <w:ffData>
                  <w:name w:val="Check1"/>
                  <w:enabled/>
                  <w:calcOnExit w:val="0"/>
                  <w:checkBox>
                    <w:sizeAuto/>
                    <w:default w:val="0"/>
                  </w:checkBox>
                </w:ffData>
              </w:fldChar>
            </w:r>
            <w:r w:rsidRPr="00E23FD6">
              <w:instrText xml:space="preserve"> FORMCHECKBOX </w:instrText>
            </w:r>
            <w:r w:rsidR="00B4283A">
              <w:fldChar w:fldCharType="separate"/>
            </w:r>
            <w:r w:rsidRPr="00E23FD6">
              <w:fldChar w:fldCharType="end"/>
            </w:r>
          </w:p>
        </w:tc>
        <w:tc>
          <w:tcPr>
            <w:tcW w:w="10098" w:type="dxa"/>
            <w:gridSpan w:val="2"/>
            <w:shd w:val="clear" w:color="auto" w:fill="auto"/>
          </w:tcPr>
          <w:p w14:paraId="333F4E07" w14:textId="77777777" w:rsidR="008C0DD4" w:rsidRPr="001557BE" w:rsidRDefault="008C0DD4" w:rsidP="001B1163">
            <w:pPr>
              <w:pStyle w:val="StatementLevel1"/>
              <w:rPr>
                <w:bCs/>
              </w:rPr>
            </w:pPr>
            <w:r w:rsidRPr="001557BE">
              <w:rPr>
                <w:bCs/>
              </w:rPr>
              <w:t>Right of access: i.e., the right to know what is known about the person.</w:t>
            </w:r>
          </w:p>
        </w:tc>
      </w:tr>
      <w:tr w:rsidR="008C0DD4" w:rsidRPr="00E23FD6" w14:paraId="7102D818" w14:textId="77777777" w:rsidTr="001B1163">
        <w:tc>
          <w:tcPr>
            <w:tcW w:w="468" w:type="dxa"/>
            <w:vMerge/>
          </w:tcPr>
          <w:p w14:paraId="2B06683B" w14:textId="77777777" w:rsidR="008C0DD4" w:rsidRPr="00E23FD6" w:rsidRDefault="008C0DD4" w:rsidP="001B1163">
            <w:pPr>
              <w:pStyle w:val="Yes-No"/>
            </w:pPr>
          </w:p>
        </w:tc>
        <w:tc>
          <w:tcPr>
            <w:tcW w:w="450" w:type="dxa"/>
            <w:gridSpan w:val="2"/>
            <w:shd w:val="clear" w:color="auto" w:fill="auto"/>
          </w:tcPr>
          <w:p w14:paraId="2FD9718E" w14:textId="77777777" w:rsidR="008C0DD4" w:rsidRPr="00E23FD6" w:rsidRDefault="008C0DD4" w:rsidP="001B1163">
            <w:pPr>
              <w:pStyle w:val="Yes-No"/>
            </w:pPr>
            <w:r w:rsidRPr="00E23FD6">
              <w:fldChar w:fldCharType="begin">
                <w:ffData>
                  <w:name w:val="Check1"/>
                  <w:enabled/>
                  <w:calcOnExit w:val="0"/>
                  <w:checkBox>
                    <w:sizeAuto/>
                    <w:default w:val="0"/>
                  </w:checkBox>
                </w:ffData>
              </w:fldChar>
            </w:r>
            <w:r w:rsidRPr="00E23FD6">
              <w:instrText xml:space="preserve"> FORMCHECKBOX </w:instrText>
            </w:r>
            <w:r w:rsidR="00B4283A">
              <w:fldChar w:fldCharType="separate"/>
            </w:r>
            <w:r w:rsidRPr="00E23FD6">
              <w:fldChar w:fldCharType="end"/>
            </w:r>
          </w:p>
        </w:tc>
        <w:tc>
          <w:tcPr>
            <w:tcW w:w="10098" w:type="dxa"/>
            <w:gridSpan w:val="2"/>
            <w:shd w:val="clear" w:color="auto" w:fill="auto"/>
          </w:tcPr>
          <w:p w14:paraId="43E6316C" w14:textId="77777777" w:rsidR="008C0DD4" w:rsidRPr="001557BE" w:rsidRDefault="008C0DD4" w:rsidP="008C0DD4">
            <w:pPr>
              <w:pStyle w:val="StatementLevel1"/>
              <w:rPr>
                <w:bCs/>
              </w:rPr>
            </w:pPr>
            <w:r w:rsidRPr="001557BE">
              <w:rPr>
                <w:bCs/>
              </w:rPr>
              <w:t xml:space="preserve">Right to </w:t>
            </w:r>
            <w:r w:rsidR="00077C40" w:rsidRPr="001557BE">
              <w:rPr>
                <w:bCs/>
              </w:rPr>
              <w:t>erasure (</w:t>
            </w:r>
            <w:r w:rsidR="00464239" w:rsidRPr="001557BE">
              <w:rPr>
                <w:bCs/>
              </w:rPr>
              <w:t>also known as the r</w:t>
            </w:r>
            <w:r w:rsidRPr="001557BE">
              <w:rPr>
                <w:bCs/>
              </w:rPr>
              <w:t>ight to be forgotten</w:t>
            </w:r>
            <w:r w:rsidR="00464239" w:rsidRPr="001557BE">
              <w:rPr>
                <w:bCs/>
              </w:rPr>
              <w:t>)</w:t>
            </w:r>
            <w:r w:rsidRPr="001557BE">
              <w:rPr>
                <w:bCs/>
              </w:rPr>
              <w:t xml:space="preserve">, </w:t>
            </w:r>
            <w:proofErr w:type="gramStart"/>
            <w:r w:rsidRPr="001557BE">
              <w:rPr>
                <w:bCs/>
              </w:rPr>
              <w:t>i.e.</w:t>
            </w:r>
            <w:proofErr w:type="gramEnd"/>
            <w:r w:rsidRPr="001557BE">
              <w:rPr>
                <w:bCs/>
              </w:rPr>
              <w:t xml:space="preserve"> to be removed entirely from the research and the database.</w:t>
            </w:r>
          </w:p>
        </w:tc>
      </w:tr>
      <w:tr w:rsidR="008C0DD4" w:rsidRPr="00E23FD6" w14:paraId="3CE3DA10" w14:textId="77777777" w:rsidTr="001B1163">
        <w:tc>
          <w:tcPr>
            <w:tcW w:w="468" w:type="dxa"/>
            <w:vMerge/>
          </w:tcPr>
          <w:p w14:paraId="15290516" w14:textId="77777777" w:rsidR="008C0DD4" w:rsidRPr="00E23FD6" w:rsidRDefault="008C0DD4" w:rsidP="001B1163">
            <w:pPr>
              <w:pStyle w:val="Yes-No"/>
            </w:pPr>
          </w:p>
        </w:tc>
        <w:tc>
          <w:tcPr>
            <w:tcW w:w="450" w:type="dxa"/>
            <w:gridSpan w:val="2"/>
            <w:shd w:val="clear" w:color="auto" w:fill="auto"/>
          </w:tcPr>
          <w:p w14:paraId="61B4D3EA" w14:textId="77777777" w:rsidR="008C0DD4" w:rsidRPr="00E23FD6" w:rsidRDefault="008C0DD4" w:rsidP="001B1163">
            <w:pPr>
              <w:pStyle w:val="Yes-No"/>
            </w:pPr>
            <w:r w:rsidRPr="00E23FD6">
              <w:fldChar w:fldCharType="begin">
                <w:ffData>
                  <w:name w:val="Check1"/>
                  <w:enabled/>
                  <w:calcOnExit w:val="0"/>
                  <w:checkBox>
                    <w:sizeAuto/>
                    <w:default w:val="0"/>
                  </w:checkBox>
                </w:ffData>
              </w:fldChar>
            </w:r>
            <w:r w:rsidRPr="00E23FD6">
              <w:instrText xml:space="preserve"> FORMCHECKBOX </w:instrText>
            </w:r>
            <w:r w:rsidR="00B4283A">
              <w:fldChar w:fldCharType="separate"/>
            </w:r>
            <w:r w:rsidRPr="00E23FD6">
              <w:fldChar w:fldCharType="end"/>
            </w:r>
          </w:p>
        </w:tc>
        <w:tc>
          <w:tcPr>
            <w:tcW w:w="10098" w:type="dxa"/>
            <w:gridSpan w:val="2"/>
            <w:shd w:val="clear" w:color="auto" w:fill="auto"/>
          </w:tcPr>
          <w:p w14:paraId="71329750" w14:textId="77777777" w:rsidR="008C0DD4" w:rsidRPr="001557BE" w:rsidRDefault="008C0DD4" w:rsidP="001B1163">
            <w:pPr>
              <w:pStyle w:val="StatementLevel1"/>
              <w:rPr>
                <w:bCs/>
              </w:rPr>
            </w:pPr>
            <w:r w:rsidRPr="001557BE">
              <w:rPr>
                <w:bCs/>
              </w:rPr>
              <w:t xml:space="preserve">Right to </w:t>
            </w:r>
            <w:r w:rsidR="00464239" w:rsidRPr="001557BE">
              <w:rPr>
                <w:bCs/>
              </w:rPr>
              <w:t>restrict data processing i.e., “stop filming me”</w:t>
            </w:r>
          </w:p>
        </w:tc>
      </w:tr>
      <w:tr w:rsidR="008C0DD4" w:rsidRPr="00E23FD6" w14:paraId="2F3BBB46" w14:textId="77777777" w:rsidTr="001B1163">
        <w:tc>
          <w:tcPr>
            <w:tcW w:w="468" w:type="dxa"/>
            <w:vMerge/>
          </w:tcPr>
          <w:p w14:paraId="0C317759" w14:textId="77777777" w:rsidR="008C0DD4" w:rsidRPr="00E23FD6" w:rsidRDefault="008C0DD4" w:rsidP="001B1163">
            <w:pPr>
              <w:pStyle w:val="Yes-No"/>
            </w:pPr>
          </w:p>
        </w:tc>
        <w:tc>
          <w:tcPr>
            <w:tcW w:w="450" w:type="dxa"/>
            <w:gridSpan w:val="2"/>
            <w:shd w:val="clear" w:color="auto" w:fill="auto"/>
          </w:tcPr>
          <w:p w14:paraId="60BC5B82" w14:textId="77777777" w:rsidR="008C0DD4" w:rsidRPr="00E23FD6" w:rsidRDefault="008C0DD4" w:rsidP="001B1163">
            <w:pPr>
              <w:pStyle w:val="Yes-No"/>
            </w:pPr>
            <w:r w:rsidRPr="008C0DD4">
              <w:fldChar w:fldCharType="begin">
                <w:ffData>
                  <w:name w:val="Check1"/>
                  <w:enabled/>
                  <w:calcOnExit w:val="0"/>
                  <w:checkBox>
                    <w:sizeAuto/>
                    <w:default w:val="0"/>
                  </w:checkBox>
                </w:ffData>
              </w:fldChar>
            </w:r>
            <w:r w:rsidRPr="008C0DD4">
              <w:instrText xml:space="preserve"> FORMCHECKBOX </w:instrText>
            </w:r>
            <w:r w:rsidR="00B4283A">
              <w:fldChar w:fldCharType="separate"/>
            </w:r>
            <w:r w:rsidRPr="008C0DD4">
              <w:fldChar w:fldCharType="end"/>
            </w:r>
          </w:p>
        </w:tc>
        <w:tc>
          <w:tcPr>
            <w:tcW w:w="10098" w:type="dxa"/>
            <w:gridSpan w:val="2"/>
            <w:shd w:val="clear" w:color="auto" w:fill="auto"/>
          </w:tcPr>
          <w:p w14:paraId="350F83B0" w14:textId="77777777" w:rsidR="008C0DD4" w:rsidRPr="001557BE" w:rsidRDefault="008C0DD4" w:rsidP="00464239">
            <w:pPr>
              <w:pStyle w:val="StatementLevel1"/>
              <w:rPr>
                <w:bCs/>
              </w:rPr>
            </w:pPr>
            <w:r w:rsidRPr="001557BE">
              <w:rPr>
                <w:bCs/>
              </w:rPr>
              <w:t xml:space="preserve">Right to </w:t>
            </w:r>
            <w:r w:rsidR="00464239" w:rsidRPr="001557BE">
              <w:rPr>
                <w:bCs/>
              </w:rPr>
              <w:t>withdrawal of consent</w:t>
            </w:r>
          </w:p>
        </w:tc>
      </w:tr>
      <w:tr w:rsidR="007A2C52" w:rsidRPr="00744F5E" w14:paraId="1B76AD81" w14:textId="77777777" w:rsidTr="008C0DD4">
        <w:trPr>
          <w:trHeight w:hRule="exact" w:val="72"/>
        </w:trPr>
        <w:tc>
          <w:tcPr>
            <w:tcW w:w="11016" w:type="dxa"/>
            <w:gridSpan w:val="5"/>
            <w:shd w:val="clear" w:color="auto" w:fill="000000"/>
          </w:tcPr>
          <w:p w14:paraId="218C3915" w14:textId="77777777" w:rsidR="007A2C52" w:rsidRPr="001557BE" w:rsidRDefault="007A2C52" w:rsidP="00995DBF">
            <w:pPr>
              <w:rPr>
                <w:bCs/>
              </w:rPr>
            </w:pPr>
          </w:p>
        </w:tc>
      </w:tr>
      <w:tr w:rsidR="007A2C52" w14:paraId="77385F42" w14:textId="77777777" w:rsidTr="008C0DD4">
        <w:tc>
          <w:tcPr>
            <w:tcW w:w="11016" w:type="dxa"/>
            <w:gridSpan w:val="5"/>
          </w:tcPr>
          <w:p w14:paraId="32EADD4B" w14:textId="77777777" w:rsidR="007A2C52" w:rsidRPr="001557BE" w:rsidRDefault="003E0CF4" w:rsidP="003E0CF4">
            <w:pPr>
              <w:pStyle w:val="ChecklistLevel1"/>
              <w:rPr>
                <w:b w:val="0"/>
                <w:bCs/>
              </w:rPr>
            </w:pPr>
            <w:r w:rsidRPr="001557BE">
              <w:rPr>
                <w:rFonts w:cs="Arial Narrow"/>
                <w:b w:val="0"/>
                <w:bCs/>
              </w:rPr>
              <w:t>Collection of a minimal amount of information / data</w:t>
            </w:r>
            <w:r w:rsidR="00190A48" w:rsidRPr="001557BE">
              <w:rPr>
                <w:rFonts w:cs="Arial Narrow"/>
                <w:b w:val="0"/>
                <w:bCs/>
              </w:rPr>
              <w:t>:</w:t>
            </w:r>
          </w:p>
        </w:tc>
      </w:tr>
      <w:tr w:rsidR="00D07AD8" w14:paraId="4B35B9AB" w14:textId="77777777" w:rsidTr="008C0DD4">
        <w:tc>
          <w:tcPr>
            <w:tcW w:w="478" w:type="dxa"/>
            <w:gridSpan w:val="2"/>
          </w:tcPr>
          <w:p w14:paraId="48AB5F16" w14:textId="77777777"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716BAF6C" w14:textId="77777777" w:rsidR="00D07AD8" w:rsidRPr="001557BE" w:rsidRDefault="000232C8" w:rsidP="000232C8">
            <w:pPr>
              <w:pStyle w:val="StatementLevel1"/>
              <w:rPr>
                <w:bCs/>
              </w:rPr>
            </w:pPr>
            <w:r w:rsidRPr="001557BE">
              <w:rPr>
                <w:bCs/>
              </w:rPr>
              <w:t xml:space="preserve">The items of personal data / special category data to be collected the minimum necessary to achieve the research objectives. </w:t>
            </w:r>
            <w:r w:rsidR="00386207" w:rsidRPr="001557BE">
              <w:rPr>
                <w:bCs/>
              </w:rPr>
              <w:t xml:space="preserve">N/A: </w:t>
            </w:r>
            <w:r w:rsidR="00386207" w:rsidRPr="001557BE">
              <w:rPr>
                <w:bCs/>
              </w:rPr>
              <w:fldChar w:fldCharType="begin">
                <w:ffData>
                  <w:name w:val="Check1"/>
                  <w:enabled/>
                  <w:calcOnExit w:val="0"/>
                  <w:checkBox>
                    <w:sizeAuto/>
                    <w:default w:val="0"/>
                  </w:checkBox>
                </w:ffData>
              </w:fldChar>
            </w:r>
            <w:r w:rsidR="00386207" w:rsidRPr="001557BE">
              <w:rPr>
                <w:bCs/>
              </w:rPr>
              <w:instrText xml:space="preserve"> FORMCHECKBOX </w:instrText>
            </w:r>
            <w:r w:rsidR="00B4283A">
              <w:rPr>
                <w:bCs/>
              </w:rPr>
            </w:r>
            <w:r w:rsidR="00B4283A">
              <w:rPr>
                <w:bCs/>
              </w:rPr>
              <w:fldChar w:fldCharType="separate"/>
            </w:r>
            <w:r w:rsidR="00386207" w:rsidRPr="001557BE">
              <w:rPr>
                <w:bCs/>
              </w:rPr>
              <w:fldChar w:fldCharType="end"/>
            </w:r>
          </w:p>
        </w:tc>
      </w:tr>
      <w:tr w:rsidR="0008444C" w14:paraId="2B1DB3D9" w14:textId="77777777" w:rsidTr="008C0DD4">
        <w:tc>
          <w:tcPr>
            <w:tcW w:w="478" w:type="dxa"/>
            <w:gridSpan w:val="2"/>
          </w:tcPr>
          <w:p w14:paraId="6720C3A3" w14:textId="77777777" w:rsidR="0008444C" w:rsidRPr="00EB4707" w:rsidRDefault="0008444C" w:rsidP="0008444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6EFE4158" w14:textId="77777777" w:rsidR="0008444C" w:rsidRPr="001557BE" w:rsidRDefault="00EF4155" w:rsidP="001804C9">
            <w:pPr>
              <w:pStyle w:val="StatementLevel1"/>
              <w:rPr>
                <w:bCs/>
              </w:rPr>
            </w:pPr>
            <w:r w:rsidRPr="001557BE">
              <w:rPr>
                <w:bCs/>
              </w:rPr>
              <w:t xml:space="preserve">The potential for using anonymized or </w:t>
            </w:r>
            <w:r w:rsidR="001804C9" w:rsidRPr="001557BE">
              <w:rPr>
                <w:bCs/>
              </w:rPr>
              <w:t xml:space="preserve">coded </w:t>
            </w:r>
            <w:r w:rsidR="0003657B" w:rsidRPr="001557BE">
              <w:rPr>
                <w:bCs/>
              </w:rPr>
              <w:t>data been considered.</w:t>
            </w:r>
            <w:r w:rsidRPr="001557BE">
              <w:rPr>
                <w:bCs/>
              </w:rPr>
              <w:t xml:space="preserve"> </w:t>
            </w:r>
            <w:r w:rsidR="00386207" w:rsidRPr="001557BE">
              <w:rPr>
                <w:bCs/>
              </w:rPr>
              <w:t xml:space="preserve">N/A: </w:t>
            </w:r>
            <w:r w:rsidR="00386207" w:rsidRPr="001557BE">
              <w:rPr>
                <w:bCs/>
              </w:rPr>
              <w:fldChar w:fldCharType="begin">
                <w:ffData>
                  <w:name w:val="Check1"/>
                  <w:enabled/>
                  <w:calcOnExit w:val="0"/>
                  <w:checkBox>
                    <w:sizeAuto/>
                    <w:default w:val="0"/>
                  </w:checkBox>
                </w:ffData>
              </w:fldChar>
            </w:r>
            <w:r w:rsidR="00386207" w:rsidRPr="001557BE">
              <w:rPr>
                <w:bCs/>
              </w:rPr>
              <w:instrText xml:space="preserve"> FORMCHECKBOX </w:instrText>
            </w:r>
            <w:r w:rsidR="00B4283A">
              <w:rPr>
                <w:bCs/>
              </w:rPr>
            </w:r>
            <w:r w:rsidR="00B4283A">
              <w:rPr>
                <w:bCs/>
              </w:rPr>
              <w:fldChar w:fldCharType="separate"/>
            </w:r>
            <w:r w:rsidR="00386207" w:rsidRPr="001557BE">
              <w:rPr>
                <w:bCs/>
              </w:rPr>
              <w:fldChar w:fldCharType="end"/>
            </w:r>
          </w:p>
        </w:tc>
      </w:tr>
      <w:tr w:rsidR="0008444C" w14:paraId="34D522D1" w14:textId="77777777" w:rsidTr="008C0DD4">
        <w:tc>
          <w:tcPr>
            <w:tcW w:w="478" w:type="dxa"/>
            <w:gridSpan w:val="2"/>
          </w:tcPr>
          <w:p w14:paraId="2D894E72" w14:textId="77777777" w:rsidR="0008444C" w:rsidRPr="00EB4707" w:rsidRDefault="0008444C" w:rsidP="0008444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07933140" w14:textId="77777777" w:rsidR="0008444C" w:rsidRPr="001557BE" w:rsidRDefault="001804C9" w:rsidP="001804C9">
            <w:pPr>
              <w:pStyle w:val="StatementLevel1"/>
              <w:rPr>
                <w:bCs/>
              </w:rPr>
            </w:pPr>
            <w:r w:rsidRPr="001557BE">
              <w:rPr>
                <w:bCs/>
              </w:rPr>
              <w:t xml:space="preserve">Access to the personal data/special category data of participants be restricted to authorized </w:t>
            </w:r>
            <w:r w:rsidR="0003657B" w:rsidRPr="001557BE">
              <w:rPr>
                <w:bCs/>
              </w:rPr>
              <w:t>persons.</w:t>
            </w:r>
            <w:r w:rsidRPr="001557BE">
              <w:rPr>
                <w:bCs/>
              </w:rPr>
              <w:t xml:space="preserve"> </w:t>
            </w:r>
            <w:r w:rsidR="00386207" w:rsidRPr="001557BE">
              <w:rPr>
                <w:bCs/>
              </w:rPr>
              <w:t xml:space="preserve">N/A: </w:t>
            </w:r>
            <w:r w:rsidR="00386207" w:rsidRPr="001557BE">
              <w:rPr>
                <w:bCs/>
              </w:rPr>
              <w:fldChar w:fldCharType="begin">
                <w:ffData>
                  <w:name w:val="Check1"/>
                  <w:enabled/>
                  <w:calcOnExit w:val="0"/>
                  <w:checkBox>
                    <w:sizeAuto/>
                    <w:default w:val="0"/>
                  </w:checkBox>
                </w:ffData>
              </w:fldChar>
            </w:r>
            <w:r w:rsidR="00386207" w:rsidRPr="001557BE">
              <w:rPr>
                <w:bCs/>
              </w:rPr>
              <w:instrText xml:space="preserve"> FORMCHECKBOX </w:instrText>
            </w:r>
            <w:r w:rsidR="00B4283A">
              <w:rPr>
                <w:bCs/>
              </w:rPr>
            </w:r>
            <w:r w:rsidR="00B4283A">
              <w:rPr>
                <w:bCs/>
              </w:rPr>
              <w:fldChar w:fldCharType="separate"/>
            </w:r>
            <w:r w:rsidR="00386207" w:rsidRPr="001557BE">
              <w:rPr>
                <w:bCs/>
              </w:rPr>
              <w:fldChar w:fldCharType="end"/>
            </w:r>
          </w:p>
        </w:tc>
      </w:tr>
      <w:tr w:rsidR="0008444C" w14:paraId="074C6052" w14:textId="77777777" w:rsidTr="008C0DD4">
        <w:tc>
          <w:tcPr>
            <w:tcW w:w="478" w:type="dxa"/>
            <w:gridSpan w:val="2"/>
          </w:tcPr>
          <w:p w14:paraId="6FA57919" w14:textId="77777777" w:rsidR="0008444C" w:rsidRPr="00EB4707" w:rsidRDefault="0008444C" w:rsidP="0008444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3A23B7BB" w14:textId="77777777" w:rsidR="0008444C" w:rsidRPr="001557BE" w:rsidRDefault="001804C9" w:rsidP="0008444C">
            <w:pPr>
              <w:pStyle w:val="StatementLevel1"/>
              <w:rPr>
                <w:bCs/>
              </w:rPr>
            </w:pPr>
            <w:r w:rsidRPr="001557BE">
              <w:rPr>
                <w:bCs/>
              </w:rPr>
              <w:t>Participant data be kept in the form of fully identi</w:t>
            </w:r>
            <w:r w:rsidRPr="001557BE">
              <w:rPr>
                <w:rFonts w:cs="Arial Narrow"/>
                <w:bCs/>
              </w:rPr>
              <w:t>fi</w:t>
            </w:r>
            <w:r w:rsidRPr="001557BE">
              <w:rPr>
                <w:bCs/>
              </w:rPr>
              <w:t xml:space="preserve">able data for a </w:t>
            </w:r>
            <w:r w:rsidRPr="001557BE">
              <w:rPr>
                <w:rFonts w:cs="Arial Narrow"/>
                <w:bCs/>
              </w:rPr>
              <w:t>fi</w:t>
            </w:r>
            <w:r w:rsidRPr="001557BE">
              <w:rPr>
                <w:bCs/>
              </w:rPr>
              <w:t xml:space="preserve">xed </w:t>
            </w:r>
            <w:proofErr w:type="gramStart"/>
            <w:r w:rsidRPr="001557BE">
              <w:rPr>
                <w:bCs/>
              </w:rPr>
              <w:t>period of time</w:t>
            </w:r>
            <w:proofErr w:type="gramEnd"/>
            <w:r w:rsidR="0003657B" w:rsidRPr="001557BE">
              <w:rPr>
                <w:bCs/>
              </w:rPr>
              <w:t>.</w:t>
            </w:r>
            <w:r w:rsidRPr="001557BE">
              <w:rPr>
                <w:bCs/>
              </w:rPr>
              <w:t xml:space="preserve"> </w:t>
            </w:r>
            <w:r w:rsidR="00386207" w:rsidRPr="001557BE">
              <w:rPr>
                <w:bCs/>
              </w:rPr>
              <w:t xml:space="preserve">N/A: </w:t>
            </w:r>
            <w:r w:rsidR="00386207" w:rsidRPr="001557BE">
              <w:rPr>
                <w:bCs/>
              </w:rPr>
              <w:fldChar w:fldCharType="begin">
                <w:ffData>
                  <w:name w:val="Check1"/>
                  <w:enabled/>
                  <w:calcOnExit w:val="0"/>
                  <w:checkBox>
                    <w:sizeAuto/>
                    <w:default w:val="0"/>
                  </w:checkBox>
                </w:ffData>
              </w:fldChar>
            </w:r>
            <w:r w:rsidR="00386207" w:rsidRPr="001557BE">
              <w:rPr>
                <w:bCs/>
              </w:rPr>
              <w:instrText xml:space="preserve"> FORMCHECKBOX </w:instrText>
            </w:r>
            <w:r w:rsidR="00B4283A">
              <w:rPr>
                <w:bCs/>
              </w:rPr>
            </w:r>
            <w:r w:rsidR="00B4283A">
              <w:rPr>
                <w:bCs/>
              </w:rPr>
              <w:fldChar w:fldCharType="separate"/>
            </w:r>
            <w:r w:rsidR="00386207" w:rsidRPr="001557BE">
              <w:rPr>
                <w:bCs/>
              </w:rPr>
              <w:fldChar w:fldCharType="end"/>
            </w:r>
          </w:p>
        </w:tc>
      </w:tr>
      <w:tr w:rsidR="0008444C" w14:paraId="2ED6E079" w14:textId="77777777" w:rsidTr="008C0DD4">
        <w:tc>
          <w:tcPr>
            <w:tcW w:w="478" w:type="dxa"/>
            <w:gridSpan w:val="2"/>
          </w:tcPr>
          <w:p w14:paraId="1817E609" w14:textId="77777777" w:rsidR="0008444C" w:rsidRPr="00EB4707" w:rsidRDefault="0008444C" w:rsidP="0008444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67E09C3E" w14:textId="77777777" w:rsidR="0008444C" w:rsidRPr="001557BE" w:rsidRDefault="0003657B" w:rsidP="0003657B">
            <w:pPr>
              <w:pStyle w:val="StatementLevel1"/>
              <w:rPr>
                <w:bCs/>
              </w:rPr>
            </w:pPr>
            <w:r w:rsidRPr="001557BE">
              <w:rPr>
                <w:bCs/>
              </w:rPr>
              <w:t xml:space="preserve">There a clear rationale for the length of time data will be kept as fully identifiable data. </w:t>
            </w:r>
            <w:r w:rsidR="00386207" w:rsidRPr="001557BE">
              <w:rPr>
                <w:bCs/>
              </w:rPr>
              <w:t xml:space="preserve">N/A: </w:t>
            </w:r>
            <w:r w:rsidR="00386207" w:rsidRPr="001557BE">
              <w:rPr>
                <w:bCs/>
              </w:rPr>
              <w:fldChar w:fldCharType="begin">
                <w:ffData>
                  <w:name w:val="Check1"/>
                  <w:enabled/>
                  <w:calcOnExit w:val="0"/>
                  <w:checkBox>
                    <w:sizeAuto/>
                    <w:default w:val="0"/>
                  </w:checkBox>
                </w:ffData>
              </w:fldChar>
            </w:r>
            <w:r w:rsidR="00386207" w:rsidRPr="001557BE">
              <w:rPr>
                <w:bCs/>
              </w:rPr>
              <w:instrText xml:space="preserve"> FORMCHECKBOX </w:instrText>
            </w:r>
            <w:r w:rsidR="00B4283A">
              <w:rPr>
                <w:bCs/>
              </w:rPr>
            </w:r>
            <w:r w:rsidR="00B4283A">
              <w:rPr>
                <w:bCs/>
              </w:rPr>
              <w:fldChar w:fldCharType="separate"/>
            </w:r>
            <w:r w:rsidR="00386207" w:rsidRPr="001557BE">
              <w:rPr>
                <w:bCs/>
              </w:rPr>
              <w:fldChar w:fldCharType="end"/>
            </w:r>
          </w:p>
        </w:tc>
      </w:tr>
      <w:tr w:rsidR="0008444C" w:rsidRPr="00744F5E" w14:paraId="17D8BD64" w14:textId="77777777" w:rsidTr="008C0DD4">
        <w:trPr>
          <w:trHeight w:hRule="exact" w:val="72"/>
        </w:trPr>
        <w:tc>
          <w:tcPr>
            <w:tcW w:w="11016" w:type="dxa"/>
            <w:gridSpan w:val="5"/>
            <w:shd w:val="clear" w:color="auto" w:fill="000000"/>
          </w:tcPr>
          <w:p w14:paraId="046E55A8" w14:textId="77777777" w:rsidR="0008444C" w:rsidRPr="001557BE" w:rsidRDefault="0008444C" w:rsidP="0008444C">
            <w:pPr>
              <w:rPr>
                <w:bCs/>
              </w:rPr>
            </w:pPr>
          </w:p>
        </w:tc>
      </w:tr>
      <w:tr w:rsidR="00D52EEA" w14:paraId="4EBEB5F5" w14:textId="77777777" w:rsidTr="001B1163">
        <w:tc>
          <w:tcPr>
            <w:tcW w:w="11016" w:type="dxa"/>
            <w:gridSpan w:val="5"/>
          </w:tcPr>
          <w:p w14:paraId="70E65102" w14:textId="77777777" w:rsidR="00D52EEA" w:rsidRPr="001557BE" w:rsidRDefault="00D52EEA" w:rsidP="001B1163">
            <w:pPr>
              <w:pStyle w:val="ChecklistLevel1"/>
              <w:rPr>
                <w:b w:val="0"/>
                <w:bCs/>
              </w:rPr>
            </w:pPr>
            <w:r w:rsidRPr="001557BE">
              <w:rPr>
                <w:rFonts w:cs="Arial Narrow"/>
                <w:b w:val="0"/>
                <w:bCs/>
              </w:rPr>
              <w:t>Data Security:</w:t>
            </w:r>
          </w:p>
        </w:tc>
      </w:tr>
      <w:tr w:rsidR="00D52EEA" w14:paraId="76130648" w14:textId="77777777" w:rsidTr="001B1163">
        <w:tc>
          <w:tcPr>
            <w:tcW w:w="478" w:type="dxa"/>
            <w:gridSpan w:val="2"/>
          </w:tcPr>
          <w:p w14:paraId="05575824" w14:textId="77777777" w:rsidR="00D52EEA" w:rsidRPr="00EB4707" w:rsidRDefault="00D52EEA" w:rsidP="001B1163">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02DD1248" w14:textId="77777777" w:rsidR="00D52EEA" w:rsidRPr="001557BE" w:rsidRDefault="00D52EEA" w:rsidP="001B1163">
            <w:pPr>
              <w:pStyle w:val="StatementLevel1"/>
              <w:rPr>
                <w:bCs/>
              </w:rPr>
            </w:pPr>
            <w:r w:rsidRPr="001557BE">
              <w:rPr>
                <w:bCs/>
              </w:rPr>
              <w:t xml:space="preserve">Personal data / special category data be collected, </w:t>
            </w:r>
            <w:proofErr w:type="gramStart"/>
            <w:r w:rsidRPr="001557BE">
              <w:rPr>
                <w:bCs/>
              </w:rPr>
              <w:t>transmitted</w:t>
            </w:r>
            <w:proofErr w:type="gramEnd"/>
            <w:r w:rsidRPr="001557BE">
              <w:rPr>
                <w:bCs/>
              </w:rPr>
              <w:t xml:space="preserve"> and stored securely. N/A: </w:t>
            </w:r>
            <w:r w:rsidRPr="001557BE">
              <w:rPr>
                <w:bCs/>
              </w:rPr>
              <w:fldChar w:fldCharType="begin">
                <w:ffData>
                  <w:name w:val="Check1"/>
                  <w:enabled/>
                  <w:calcOnExit w:val="0"/>
                  <w:checkBox>
                    <w:sizeAuto/>
                    <w:default w:val="0"/>
                  </w:checkBox>
                </w:ffData>
              </w:fldChar>
            </w:r>
            <w:r w:rsidRPr="001557BE">
              <w:rPr>
                <w:bCs/>
              </w:rPr>
              <w:instrText xml:space="preserve"> FORMCHECKBOX </w:instrText>
            </w:r>
            <w:r w:rsidR="00B4283A">
              <w:rPr>
                <w:bCs/>
              </w:rPr>
            </w:r>
            <w:r w:rsidR="00B4283A">
              <w:rPr>
                <w:bCs/>
              </w:rPr>
              <w:fldChar w:fldCharType="separate"/>
            </w:r>
            <w:r w:rsidRPr="001557BE">
              <w:rPr>
                <w:bCs/>
              </w:rPr>
              <w:fldChar w:fldCharType="end"/>
            </w:r>
          </w:p>
        </w:tc>
      </w:tr>
      <w:tr w:rsidR="00D52EEA" w14:paraId="2D20A649" w14:textId="77777777" w:rsidTr="001B1163">
        <w:tc>
          <w:tcPr>
            <w:tcW w:w="478" w:type="dxa"/>
            <w:gridSpan w:val="2"/>
          </w:tcPr>
          <w:p w14:paraId="52E4E5DA" w14:textId="77777777" w:rsidR="00D52EEA" w:rsidRPr="00EB4707" w:rsidRDefault="00D52EEA" w:rsidP="001B1163">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3252CA1E" w14:textId="77777777" w:rsidR="00D52EEA" w:rsidRPr="001557BE" w:rsidRDefault="00096746" w:rsidP="001B1163">
            <w:pPr>
              <w:pStyle w:val="StatementLevel1"/>
              <w:rPr>
                <w:bCs/>
              </w:rPr>
            </w:pPr>
            <w:r w:rsidRPr="001557BE">
              <w:rPr>
                <w:bCs/>
              </w:rPr>
              <w:t>The level of security to be provided appropriate to the risks represented by the processing</w:t>
            </w:r>
            <w:r w:rsidR="00D52EEA" w:rsidRPr="001557BE">
              <w:rPr>
                <w:bCs/>
              </w:rPr>
              <w:t xml:space="preserve">. N/A: </w:t>
            </w:r>
            <w:r w:rsidR="00D52EEA" w:rsidRPr="001557BE">
              <w:rPr>
                <w:bCs/>
              </w:rPr>
              <w:fldChar w:fldCharType="begin">
                <w:ffData>
                  <w:name w:val="Check1"/>
                  <w:enabled/>
                  <w:calcOnExit w:val="0"/>
                  <w:checkBox>
                    <w:sizeAuto/>
                    <w:default w:val="0"/>
                  </w:checkBox>
                </w:ffData>
              </w:fldChar>
            </w:r>
            <w:r w:rsidR="00D52EEA" w:rsidRPr="001557BE">
              <w:rPr>
                <w:bCs/>
              </w:rPr>
              <w:instrText xml:space="preserve"> FORMCHECKBOX </w:instrText>
            </w:r>
            <w:r w:rsidR="00B4283A">
              <w:rPr>
                <w:bCs/>
              </w:rPr>
            </w:r>
            <w:r w:rsidR="00B4283A">
              <w:rPr>
                <w:bCs/>
              </w:rPr>
              <w:fldChar w:fldCharType="separate"/>
            </w:r>
            <w:r w:rsidR="00D52EEA" w:rsidRPr="001557BE">
              <w:rPr>
                <w:bCs/>
              </w:rPr>
              <w:fldChar w:fldCharType="end"/>
            </w:r>
          </w:p>
        </w:tc>
      </w:tr>
      <w:tr w:rsidR="00D52EEA" w14:paraId="0B1A01F1" w14:textId="77777777" w:rsidTr="001B1163">
        <w:tc>
          <w:tcPr>
            <w:tcW w:w="478" w:type="dxa"/>
            <w:gridSpan w:val="2"/>
          </w:tcPr>
          <w:p w14:paraId="5897F9A3" w14:textId="77777777" w:rsidR="00D52EEA" w:rsidRPr="00EB4707" w:rsidRDefault="00D52EEA" w:rsidP="001B1163">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5950C81E" w14:textId="77777777" w:rsidR="00D52EEA" w:rsidRPr="001557BE" w:rsidRDefault="00077C40" w:rsidP="00096746">
            <w:pPr>
              <w:pStyle w:val="StatementLevel1"/>
              <w:rPr>
                <w:bCs/>
              </w:rPr>
            </w:pPr>
            <w:r w:rsidRPr="001557BE">
              <w:rPr>
                <w:bCs/>
              </w:rPr>
              <w:t>Arrangements are</w:t>
            </w:r>
            <w:r w:rsidR="00096746" w:rsidRPr="001557BE">
              <w:rPr>
                <w:bCs/>
              </w:rPr>
              <w:t xml:space="preserve"> in place for the secure disposal and/or destruction of personal data / special category data when it is no longer required</w:t>
            </w:r>
            <w:r w:rsidR="00D52EEA" w:rsidRPr="001557BE">
              <w:rPr>
                <w:bCs/>
              </w:rPr>
              <w:t xml:space="preserve">. N/A: </w:t>
            </w:r>
            <w:r w:rsidR="00D52EEA" w:rsidRPr="001557BE">
              <w:rPr>
                <w:bCs/>
              </w:rPr>
              <w:fldChar w:fldCharType="begin">
                <w:ffData>
                  <w:name w:val="Check1"/>
                  <w:enabled/>
                  <w:calcOnExit w:val="0"/>
                  <w:checkBox>
                    <w:sizeAuto/>
                    <w:default w:val="0"/>
                  </w:checkBox>
                </w:ffData>
              </w:fldChar>
            </w:r>
            <w:r w:rsidR="00D52EEA" w:rsidRPr="001557BE">
              <w:rPr>
                <w:bCs/>
              </w:rPr>
              <w:instrText xml:space="preserve"> FORMCHECKBOX </w:instrText>
            </w:r>
            <w:r w:rsidR="00B4283A">
              <w:rPr>
                <w:bCs/>
              </w:rPr>
            </w:r>
            <w:r w:rsidR="00B4283A">
              <w:rPr>
                <w:bCs/>
              </w:rPr>
              <w:fldChar w:fldCharType="separate"/>
            </w:r>
            <w:r w:rsidR="00D52EEA" w:rsidRPr="001557BE">
              <w:rPr>
                <w:bCs/>
              </w:rPr>
              <w:fldChar w:fldCharType="end"/>
            </w:r>
          </w:p>
        </w:tc>
      </w:tr>
      <w:tr w:rsidR="00D52EEA" w14:paraId="0ACEEA9D" w14:textId="77777777" w:rsidTr="001B1163">
        <w:tc>
          <w:tcPr>
            <w:tcW w:w="478" w:type="dxa"/>
            <w:gridSpan w:val="2"/>
          </w:tcPr>
          <w:p w14:paraId="7FC92242" w14:textId="77777777" w:rsidR="00D52EEA" w:rsidRPr="00EB4707" w:rsidRDefault="00D52EEA" w:rsidP="001B1163">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62344884" w14:textId="77777777" w:rsidR="00D52EEA" w:rsidRPr="001557BE" w:rsidRDefault="00D52EEA" w:rsidP="001B1163">
            <w:pPr>
              <w:pStyle w:val="StatementLevel1"/>
              <w:rPr>
                <w:bCs/>
              </w:rPr>
            </w:pPr>
            <w:r w:rsidRPr="001557BE">
              <w:rPr>
                <w:bCs/>
              </w:rPr>
              <w:t>P</w:t>
            </w:r>
            <w:r w:rsidR="00077C40" w:rsidRPr="001557BE">
              <w:rPr>
                <w:bCs/>
              </w:rPr>
              <w:t>articipant data will be</w:t>
            </w:r>
            <w:r w:rsidRPr="001557BE">
              <w:rPr>
                <w:bCs/>
              </w:rPr>
              <w:t xml:space="preserve"> kept in the form of fully identi</w:t>
            </w:r>
            <w:r w:rsidRPr="001557BE">
              <w:rPr>
                <w:rFonts w:cs="Arial Narrow"/>
                <w:bCs/>
              </w:rPr>
              <w:t>fi</w:t>
            </w:r>
            <w:r w:rsidRPr="001557BE">
              <w:rPr>
                <w:bCs/>
              </w:rPr>
              <w:t xml:space="preserve">able data for a </w:t>
            </w:r>
            <w:r w:rsidRPr="001557BE">
              <w:rPr>
                <w:rFonts w:cs="Arial Narrow"/>
                <w:bCs/>
              </w:rPr>
              <w:t>fi</w:t>
            </w:r>
            <w:r w:rsidRPr="001557BE">
              <w:rPr>
                <w:bCs/>
              </w:rPr>
              <w:t xml:space="preserve">xed </w:t>
            </w:r>
            <w:proofErr w:type="gramStart"/>
            <w:r w:rsidRPr="001557BE">
              <w:rPr>
                <w:bCs/>
              </w:rPr>
              <w:t>period of time</w:t>
            </w:r>
            <w:proofErr w:type="gramEnd"/>
            <w:r w:rsidRPr="001557BE">
              <w:rPr>
                <w:bCs/>
              </w:rPr>
              <w:t xml:space="preserve">. N/A: </w:t>
            </w:r>
            <w:r w:rsidRPr="001557BE">
              <w:rPr>
                <w:bCs/>
              </w:rPr>
              <w:fldChar w:fldCharType="begin">
                <w:ffData>
                  <w:name w:val="Check1"/>
                  <w:enabled/>
                  <w:calcOnExit w:val="0"/>
                  <w:checkBox>
                    <w:sizeAuto/>
                    <w:default w:val="0"/>
                  </w:checkBox>
                </w:ffData>
              </w:fldChar>
            </w:r>
            <w:r w:rsidRPr="001557BE">
              <w:rPr>
                <w:bCs/>
              </w:rPr>
              <w:instrText xml:space="preserve"> FORMCHECKBOX </w:instrText>
            </w:r>
            <w:r w:rsidR="00B4283A">
              <w:rPr>
                <w:bCs/>
              </w:rPr>
            </w:r>
            <w:r w:rsidR="00B4283A">
              <w:rPr>
                <w:bCs/>
              </w:rPr>
              <w:fldChar w:fldCharType="separate"/>
            </w:r>
            <w:r w:rsidRPr="001557BE">
              <w:rPr>
                <w:bCs/>
              </w:rPr>
              <w:fldChar w:fldCharType="end"/>
            </w:r>
          </w:p>
        </w:tc>
      </w:tr>
      <w:tr w:rsidR="00D52EEA" w14:paraId="14BFFD61" w14:textId="77777777" w:rsidTr="001B1163">
        <w:tc>
          <w:tcPr>
            <w:tcW w:w="478" w:type="dxa"/>
            <w:gridSpan w:val="2"/>
          </w:tcPr>
          <w:p w14:paraId="3F0B49C6" w14:textId="77777777" w:rsidR="00D52EEA" w:rsidRPr="00EB4707" w:rsidRDefault="00D52EEA" w:rsidP="001B1163">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2F1A085F" w14:textId="77777777" w:rsidR="00D52EEA" w:rsidRPr="001557BE" w:rsidRDefault="00D52EEA" w:rsidP="001B1163">
            <w:pPr>
              <w:pStyle w:val="StatementLevel1"/>
              <w:rPr>
                <w:bCs/>
              </w:rPr>
            </w:pPr>
            <w:r w:rsidRPr="001557BE">
              <w:rPr>
                <w:bCs/>
              </w:rPr>
              <w:t xml:space="preserve">There a clear rationale for the length of time data will be kept as fully identifiable data. N/A: </w:t>
            </w:r>
            <w:r w:rsidRPr="001557BE">
              <w:rPr>
                <w:bCs/>
              </w:rPr>
              <w:fldChar w:fldCharType="begin">
                <w:ffData>
                  <w:name w:val="Check1"/>
                  <w:enabled/>
                  <w:calcOnExit w:val="0"/>
                  <w:checkBox>
                    <w:sizeAuto/>
                    <w:default w:val="0"/>
                  </w:checkBox>
                </w:ffData>
              </w:fldChar>
            </w:r>
            <w:r w:rsidRPr="001557BE">
              <w:rPr>
                <w:bCs/>
              </w:rPr>
              <w:instrText xml:space="preserve"> FORMCHECKBOX </w:instrText>
            </w:r>
            <w:r w:rsidR="00B4283A">
              <w:rPr>
                <w:bCs/>
              </w:rPr>
            </w:r>
            <w:r w:rsidR="00B4283A">
              <w:rPr>
                <w:bCs/>
              </w:rPr>
              <w:fldChar w:fldCharType="separate"/>
            </w:r>
            <w:r w:rsidRPr="001557BE">
              <w:rPr>
                <w:bCs/>
              </w:rPr>
              <w:fldChar w:fldCharType="end"/>
            </w:r>
          </w:p>
        </w:tc>
      </w:tr>
      <w:tr w:rsidR="0008444C" w14:paraId="4CEE52F5" w14:textId="77777777" w:rsidTr="008C0DD4">
        <w:tc>
          <w:tcPr>
            <w:tcW w:w="11016" w:type="dxa"/>
            <w:gridSpan w:val="5"/>
          </w:tcPr>
          <w:p w14:paraId="2468360D" w14:textId="77777777" w:rsidR="0008444C" w:rsidRPr="001557BE" w:rsidRDefault="00096746" w:rsidP="00ED1665">
            <w:pPr>
              <w:pStyle w:val="ChecklistLevel1"/>
              <w:rPr>
                <w:b w:val="0"/>
                <w:bCs/>
              </w:rPr>
            </w:pPr>
            <w:r w:rsidRPr="001557BE">
              <w:rPr>
                <w:b w:val="0"/>
                <w:bCs/>
              </w:rPr>
              <w:t>Other security measures:</w:t>
            </w:r>
          </w:p>
        </w:tc>
      </w:tr>
      <w:tr w:rsidR="0008444C" w14:paraId="1FDF20B2" w14:textId="77777777" w:rsidTr="008C0DD4">
        <w:tc>
          <w:tcPr>
            <w:tcW w:w="478" w:type="dxa"/>
            <w:gridSpan w:val="2"/>
          </w:tcPr>
          <w:p w14:paraId="6DF170B8" w14:textId="77777777" w:rsidR="0008444C" w:rsidRPr="00EB4707" w:rsidRDefault="0008444C" w:rsidP="0008444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627E3C60" w14:textId="77777777" w:rsidR="0008444C" w:rsidRPr="001557BE" w:rsidRDefault="00096746" w:rsidP="00096746">
            <w:pPr>
              <w:pStyle w:val="StatementLevel1"/>
              <w:rPr>
                <w:bCs/>
              </w:rPr>
            </w:pPr>
            <w:r w:rsidRPr="001557BE">
              <w:rPr>
                <w:bCs/>
              </w:rPr>
              <w:t xml:space="preserve">If the data is to be shared with another organization, there is (or will be) a written agreement such as a Data Use Agreement, Data Transfer Agreement, or Material Transfer </w:t>
            </w:r>
            <w:proofErr w:type="gramStart"/>
            <w:r w:rsidRPr="001557BE">
              <w:rPr>
                <w:bCs/>
              </w:rPr>
              <w:t>Agreement  with</w:t>
            </w:r>
            <w:proofErr w:type="gramEnd"/>
            <w:r w:rsidRPr="001557BE">
              <w:rPr>
                <w:bCs/>
              </w:rPr>
              <w:t xml:space="preserve"> the other organization, setting out the respective roles and responsibilities of each  and how individual participants may exercise their rights in respect of their data. N/A: </w:t>
            </w:r>
            <w:r w:rsidRPr="001557BE">
              <w:rPr>
                <w:bCs/>
              </w:rPr>
              <w:fldChar w:fldCharType="begin">
                <w:ffData>
                  <w:name w:val="Check1"/>
                  <w:enabled/>
                  <w:calcOnExit w:val="0"/>
                  <w:checkBox>
                    <w:sizeAuto/>
                    <w:default w:val="0"/>
                  </w:checkBox>
                </w:ffData>
              </w:fldChar>
            </w:r>
            <w:r w:rsidRPr="001557BE">
              <w:rPr>
                <w:bCs/>
              </w:rPr>
              <w:instrText xml:space="preserve"> FORMCHECKBOX </w:instrText>
            </w:r>
            <w:r w:rsidR="00B4283A">
              <w:rPr>
                <w:bCs/>
              </w:rPr>
            </w:r>
            <w:r w:rsidR="00B4283A">
              <w:rPr>
                <w:bCs/>
              </w:rPr>
              <w:fldChar w:fldCharType="separate"/>
            </w:r>
            <w:r w:rsidRPr="001557BE">
              <w:rPr>
                <w:bCs/>
              </w:rPr>
              <w:fldChar w:fldCharType="end"/>
            </w:r>
          </w:p>
        </w:tc>
      </w:tr>
      <w:tr w:rsidR="0008444C" w14:paraId="1690A010" w14:textId="77777777" w:rsidTr="008C0DD4">
        <w:tc>
          <w:tcPr>
            <w:tcW w:w="478" w:type="dxa"/>
            <w:gridSpan w:val="2"/>
          </w:tcPr>
          <w:p w14:paraId="4DF5FCC4" w14:textId="77777777" w:rsidR="0008444C" w:rsidRPr="00EB4707" w:rsidRDefault="0008444C" w:rsidP="0008444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4283A">
              <w:fldChar w:fldCharType="separate"/>
            </w:r>
            <w:r w:rsidRPr="00EB4707">
              <w:fldChar w:fldCharType="end"/>
            </w:r>
          </w:p>
        </w:tc>
        <w:tc>
          <w:tcPr>
            <w:tcW w:w="10538" w:type="dxa"/>
            <w:gridSpan w:val="3"/>
          </w:tcPr>
          <w:p w14:paraId="70EEDC91" w14:textId="77777777" w:rsidR="0008444C" w:rsidRPr="001557BE" w:rsidRDefault="00096746" w:rsidP="00096746">
            <w:pPr>
              <w:pStyle w:val="StatementLevel1"/>
              <w:rPr>
                <w:bCs/>
              </w:rPr>
            </w:pPr>
            <w:r w:rsidRPr="001557BE">
              <w:rPr>
                <w:bCs/>
              </w:rPr>
              <w:t xml:space="preserve">Is it likely that your use of personal data/special category data will cause substantial damage or substantial distress to any of the participants? </w:t>
            </w:r>
            <w:r w:rsidRPr="001557BE">
              <w:rPr>
                <w:bCs/>
                <w:u w:val="single"/>
              </w:rPr>
              <w:t>If yes</w:t>
            </w:r>
            <w:r w:rsidRPr="001557BE">
              <w:rPr>
                <w:bCs/>
              </w:rPr>
              <w:t>, it is the requirement in the GDPR that personal data may not be used for research purposes if it is likely to cause substantial damage or substantial distress to an individual.</w:t>
            </w:r>
          </w:p>
        </w:tc>
      </w:tr>
    </w:tbl>
    <w:p w14:paraId="4559432E" w14:textId="77777777" w:rsidR="00B542B6" w:rsidRDefault="00B542B6" w:rsidP="00B542B6">
      <w:pPr>
        <w:pStyle w:val="MediumGrid1-Accent21"/>
        <w:ind w:left="0"/>
        <w:rPr>
          <w:rFonts w:ascii="Arial" w:hAnsi="Arial" w:cs="Arial"/>
          <w:b/>
          <w:sz w:val="22"/>
          <w:szCs w:val="22"/>
        </w:rPr>
      </w:pPr>
    </w:p>
    <w:p w14:paraId="0C730C7D" w14:textId="77777777" w:rsidR="001B56EF" w:rsidRDefault="001B56EF" w:rsidP="00A05445"/>
    <w:sectPr w:rsidR="001B56EF" w:rsidSect="00C031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8D8E" w14:textId="77777777" w:rsidR="00B4283A" w:rsidRDefault="00B4283A">
      <w:r>
        <w:separator/>
      </w:r>
    </w:p>
  </w:endnote>
  <w:endnote w:type="continuationSeparator" w:id="0">
    <w:p w14:paraId="7097A684" w14:textId="77777777" w:rsidR="00B4283A" w:rsidRDefault="00B4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08BC" w14:textId="77777777" w:rsidR="001557BE" w:rsidRDefault="00155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A025" w14:textId="77777777" w:rsidR="00C951C5" w:rsidRPr="00C951C5" w:rsidRDefault="00B4283A" w:rsidP="001D7886">
    <w:pPr>
      <w:pStyle w:val="SOPFooter"/>
      <w:tabs>
        <w:tab w:val="right" w:pos="10800"/>
      </w:tabs>
      <w:jc w:val="left"/>
    </w:pPr>
    <w:hyperlink w:history="1"/>
    <w:r w:rsidR="004D572E"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50EC" w14:textId="77777777" w:rsidR="001557BE" w:rsidRDefault="0015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9461" w14:textId="77777777" w:rsidR="00B4283A" w:rsidRDefault="00B4283A">
      <w:r>
        <w:separator/>
      </w:r>
    </w:p>
  </w:footnote>
  <w:footnote w:type="continuationSeparator" w:id="0">
    <w:p w14:paraId="5AE880CC" w14:textId="77777777" w:rsidR="00B4283A" w:rsidRDefault="00B4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475A" w14:textId="77777777" w:rsidR="001557BE" w:rsidRDefault="0015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336"/>
      <w:gridCol w:w="2457"/>
      <w:gridCol w:w="2882"/>
      <w:gridCol w:w="2151"/>
      <w:gridCol w:w="1964"/>
    </w:tblGrid>
    <w:tr w:rsidR="004000D6" w:rsidRPr="004000D6" w14:paraId="0A6F2190" w14:textId="77777777" w:rsidTr="00EE3649">
      <w:trPr>
        <w:trHeight w:val="430"/>
      </w:trPr>
      <w:tc>
        <w:tcPr>
          <w:tcW w:w="438" w:type="pc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4000D6" w:rsidRPr="004000D6" w14:paraId="44BEE6ED" w14:textId="77777777" w:rsidTr="00EE3649">
            <w:trPr>
              <w:trHeight w:val="330"/>
              <w:tblCellSpacing w:w="0" w:type="dxa"/>
            </w:trPr>
            <w:tc>
              <w:tcPr>
                <w:tcW w:w="1120" w:type="dxa"/>
                <w:tcBorders>
                  <w:top w:val="nil"/>
                  <w:left w:val="nil"/>
                  <w:bottom w:val="nil"/>
                  <w:right w:val="nil"/>
                </w:tcBorders>
                <w:shd w:val="clear" w:color="auto" w:fill="auto"/>
                <w:noWrap/>
                <w:vAlign w:val="bottom"/>
                <w:hideMark/>
              </w:tcPr>
              <w:p w14:paraId="2006ED00" w14:textId="77777777" w:rsidR="004000D6" w:rsidRPr="004000D6" w:rsidRDefault="004000D6" w:rsidP="004000D6">
                <w:pPr>
                  <w:rPr>
                    <w:rFonts w:ascii="Calibri" w:hAnsi="Calibri" w:cs="Calibri"/>
                    <w:color w:val="000000"/>
                    <w:sz w:val="22"/>
                    <w:szCs w:val="22"/>
                  </w:rPr>
                </w:pPr>
              </w:p>
            </w:tc>
          </w:tr>
        </w:tbl>
        <w:p w14:paraId="6AADE856" w14:textId="77777777" w:rsidR="004000D6" w:rsidRPr="004000D6" w:rsidRDefault="004000D6" w:rsidP="004000D6">
          <w:pPr>
            <w:rPr>
              <w:rFonts w:ascii="Calibri" w:hAnsi="Calibri" w:cs="Calibri"/>
              <w:color w:val="000000"/>
              <w:sz w:val="22"/>
              <w:szCs w:val="22"/>
            </w:rPr>
          </w:pPr>
        </w:p>
      </w:tc>
      <w:tc>
        <w:tcPr>
          <w:tcW w:w="456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B72E12" w14:textId="77777777" w:rsidR="004000D6" w:rsidRPr="004000D6" w:rsidRDefault="004000D6" w:rsidP="00B82B21">
          <w:pPr>
            <w:rPr>
              <w:rFonts w:ascii="Arial" w:hAnsi="Arial" w:cs="Arial"/>
              <w:bCs/>
              <w:color w:val="000000"/>
            </w:rPr>
          </w:pPr>
          <w:r w:rsidRPr="004000D6">
            <w:rPr>
              <w:rFonts w:ascii="Arial" w:hAnsi="Arial" w:cs="Arial"/>
              <w:b/>
            </w:rPr>
            <w:t xml:space="preserve">WORKSHEET: </w:t>
          </w:r>
          <w:r w:rsidR="00B82B21" w:rsidRPr="00B82B21">
            <w:rPr>
              <w:rFonts w:ascii="Arial" w:hAnsi="Arial" w:cs="Arial"/>
            </w:rPr>
            <w:t>GDPR Compliance</w:t>
          </w:r>
          <w:r w:rsidR="00B82B21">
            <w:rPr>
              <w:rFonts w:ascii="Arial" w:hAnsi="Arial" w:cs="Arial"/>
              <w:b/>
            </w:rPr>
            <w:t xml:space="preserve">: </w:t>
          </w:r>
          <w:r w:rsidR="00B82B21">
            <w:rPr>
              <w:rFonts w:ascii="Arial" w:eastAsiaTheme="minorHAnsi" w:hAnsi="Arial" w:cs="Arial"/>
              <w:szCs w:val="22"/>
            </w:rPr>
            <w:t>Data P</w:t>
          </w:r>
          <w:r w:rsidR="00B82B21" w:rsidRPr="00B82B21">
            <w:rPr>
              <w:rFonts w:ascii="Arial" w:eastAsiaTheme="minorHAnsi" w:hAnsi="Arial" w:cs="Arial"/>
              <w:szCs w:val="22"/>
            </w:rPr>
            <w:t xml:space="preserve">rotection </w:t>
          </w:r>
        </w:p>
      </w:tc>
    </w:tr>
    <w:tr w:rsidR="004000D6" w:rsidRPr="004000D6" w14:paraId="49839011" w14:textId="77777777" w:rsidTr="00EE3649">
      <w:trPr>
        <w:trHeight w:val="145"/>
      </w:trPr>
      <w:tc>
        <w:tcPr>
          <w:tcW w:w="438" w:type="pct"/>
          <w:tcBorders>
            <w:top w:val="nil"/>
            <w:left w:val="nil"/>
            <w:bottom w:val="nil"/>
            <w:right w:val="nil"/>
          </w:tcBorders>
          <w:shd w:val="clear" w:color="auto" w:fill="auto"/>
          <w:noWrap/>
          <w:vAlign w:val="bottom"/>
          <w:hideMark/>
        </w:tcPr>
        <w:p w14:paraId="64674D8E" w14:textId="77777777" w:rsidR="004000D6" w:rsidRPr="004000D6" w:rsidRDefault="004000D6" w:rsidP="004000D6">
          <w:pPr>
            <w:rPr>
              <w:rFonts w:ascii="Arial" w:hAnsi="Arial" w:cs="Arial"/>
              <w:b/>
              <w:bCs/>
              <w:color w:val="000000"/>
            </w:rPr>
          </w:pPr>
        </w:p>
      </w:tc>
      <w:tc>
        <w:tcPr>
          <w:tcW w:w="1184" w:type="pct"/>
          <w:tcBorders>
            <w:top w:val="nil"/>
            <w:left w:val="single" w:sz="8" w:space="0" w:color="auto"/>
            <w:bottom w:val="single" w:sz="8" w:space="0" w:color="auto"/>
            <w:right w:val="single" w:sz="8" w:space="0" w:color="auto"/>
          </w:tcBorders>
          <w:shd w:val="clear" w:color="auto" w:fill="auto"/>
          <w:vAlign w:val="center"/>
          <w:hideMark/>
        </w:tcPr>
        <w:p w14:paraId="6A171BEC" w14:textId="77777777" w:rsidR="004000D6" w:rsidRPr="004000D6" w:rsidRDefault="004000D6" w:rsidP="004000D6">
          <w:pPr>
            <w:jc w:val="center"/>
            <w:rPr>
              <w:rFonts w:ascii="Arial" w:hAnsi="Arial" w:cs="Arial"/>
              <w:color w:val="000000"/>
              <w:sz w:val="18"/>
              <w:szCs w:val="18"/>
            </w:rPr>
          </w:pPr>
          <w:r w:rsidRPr="004000D6">
            <w:rPr>
              <w:rFonts w:ascii="Arial" w:hAnsi="Arial" w:cs="Arial"/>
              <w:color w:val="000000"/>
              <w:sz w:val="18"/>
              <w:szCs w:val="18"/>
            </w:rPr>
            <w:t>NUMBER</w:t>
          </w:r>
        </w:p>
      </w:tc>
      <w:tc>
        <w:tcPr>
          <w:tcW w:w="1381" w:type="pct"/>
          <w:tcBorders>
            <w:top w:val="nil"/>
            <w:left w:val="nil"/>
            <w:bottom w:val="single" w:sz="8" w:space="0" w:color="auto"/>
            <w:right w:val="single" w:sz="8" w:space="0" w:color="auto"/>
          </w:tcBorders>
          <w:shd w:val="clear" w:color="auto" w:fill="auto"/>
          <w:vAlign w:val="center"/>
          <w:hideMark/>
        </w:tcPr>
        <w:p w14:paraId="139716B0" w14:textId="77777777" w:rsidR="004000D6" w:rsidRPr="004000D6" w:rsidRDefault="004000D6" w:rsidP="004000D6">
          <w:pPr>
            <w:jc w:val="center"/>
            <w:rPr>
              <w:rFonts w:ascii="Arial" w:hAnsi="Arial" w:cs="Arial"/>
              <w:color w:val="000000"/>
              <w:sz w:val="18"/>
              <w:szCs w:val="18"/>
            </w:rPr>
          </w:pPr>
          <w:r w:rsidRPr="004000D6">
            <w:rPr>
              <w:rFonts w:ascii="Arial" w:hAnsi="Arial" w:cs="Arial"/>
              <w:color w:val="000000"/>
              <w:sz w:val="18"/>
              <w:szCs w:val="18"/>
            </w:rPr>
            <w:t>APPROVED BY</w:t>
          </w:r>
        </w:p>
      </w:tc>
      <w:tc>
        <w:tcPr>
          <w:tcW w:w="1042" w:type="pct"/>
          <w:tcBorders>
            <w:top w:val="nil"/>
            <w:left w:val="nil"/>
            <w:bottom w:val="single" w:sz="8" w:space="0" w:color="auto"/>
            <w:right w:val="single" w:sz="8" w:space="0" w:color="auto"/>
          </w:tcBorders>
          <w:shd w:val="clear" w:color="auto" w:fill="auto"/>
          <w:vAlign w:val="center"/>
          <w:hideMark/>
        </w:tcPr>
        <w:p w14:paraId="264E0B45" w14:textId="77777777" w:rsidR="004000D6" w:rsidRPr="004000D6" w:rsidRDefault="00977EBC" w:rsidP="004000D6">
          <w:pPr>
            <w:jc w:val="center"/>
            <w:rPr>
              <w:rFonts w:ascii="Arial" w:hAnsi="Arial" w:cs="Arial"/>
              <w:color w:val="000000"/>
              <w:sz w:val="18"/>
              <w:szCs w:val="18"/>
            </w:rPr>
          </w:pPr>
          <w:r>
            <w:rPr>
              <w:rFonts w:ascii="Arial" w:hAnsi="Arial" w:cs="Arial"/>
              <w:color w:val="000000"/>
              <w:sz w:val="18"/>
              <w:szCs w:val="18"/>
            </w:rPr>
            <w:t xml:space="preserve">EFFECTIVE </w:t>
          </w:r>
          <w:r w:rsidR="004000D6" w:rsidRPr="004000D6">
            <w:rPr>
              <w:rFonts w:ascii="Arial" w:hAnsi="Arial" w:cs="Arial"/>
              <w:color w:val="000000"/>
              <w:sz w:val="18"/>
              <w:szCs w:val="18"/>
            </w:rPr>
            <w:t>DATE</w:t>
          </w:r>
        </w:p>
      </w:tc>
      <w:tc>
        <w:tcPr>
          <w:tcW w:w="955" w:type="pct"/>
          <w:tcBorders>
            <w:top w:val="nil"/>
            <w:left w:val="nil"/>
            <w:bottom w:val="single" w:sz="8" w:space="0" w:color="auto"/>
            <w:right w:val="single" w:sz="8" w:space="0" w:color="auto"/>
          </w:tcBorders>
          <w:shd w:val="clear" w:color="auto" w:fill="auto"/>
          <w:vAlign w:val="center"/>
          <w:hideMark/>
        </w:tcPr>
        <w:p w14:paraId="1B132BC9" w14:textId="77777777" w:rsidR="004000D6" w:rsidRPr="004000D6" w:rsidRDefault="004000D6" w:rsidP="004000D6">
          <w:pPr>
            <w:jc w:val="center"/>
            <w:rPr>
              <w:rFonts w:ascii="Arial" w:hAnsi="Arial" w:cs="Arial"/>
              <w:color w:val="000000"/>
              <w:sz w:val="18"/>
              <w:szCs w:val="18"/>
            </w:rPr>
          </w:pPr>
          <w:r w:rsidRPr="004000D6">
            <w:rPr>
              <w:rFonts w:ascii="Arial" w:hAnsi="Arial" w:cs="Arial"/>
              <w:color w:val="000000"/>
              <w:sz w:val="18"/>
              <w:szCs w:val="18"/>
            </w:rPr>
            <w:t>PAGE</w:t>
          </w:r>
        </w:p>
      </w:tc>
    </w:tr>
    <w:tr w:rsidR="004000D6" w:rsidRPr="004000D6" w14:paraId="7D600509" w14:textId="77777777" w:rsidTr="00EE3649">
      <w:trPr>
        <w:trHeight w:val="46"/>
      </w:trPr>
      <w:tc>
        <w:tcPr>
          <w:tcW w:w="438" w:type="pct"/>
          <w:tcBorders>
            <w:top w:val="nil"/>
            <w:left w:val="nil"/>
            <w:bottom w:val="nil"/>
            <w:right w:val="nil"/>
          </w:tcBorders>
          <w:shd w:val="clear" w:color="auto" w:fill="auto"/>
          <w:noWrap/>
          <w:vAlign w:val="bottom"/>
          <w:hideMark/>
        </w:tcPr>
        <w:p w14:paraId="573AB20B" w14:textId="77777777" w:rsidR="004000D6" w:rsidRPr="004000D6" w:rsidRDefault="007F54D0" w:rsidP="004000D6">
          <w:pPr>
            <w:jc w:val="center"/>
            <w:rPr>
              <w:rFonts w:ascii="Arial" w:hAnsi="Arial" w:cs="Arial"/>
              <w:color w:val="000000"/>
              <w:sz w:val="18"/>
              <w:szCs w:val="18"/>
            </w:rPr>
          </w:pPr>
          <w:r w:rsidRPr="004000D6">
            <w:rPr>
              <w:rFonts w:ascii="Calibri" w:hAnsi="Calibri" w:cs="Calibri"/>
              <w:noProof/>
              <w:color w:val="000000"/>
              <w:sz w:val="22"/>
              <w:szCs w:val="22"/>
            </w:rPr>
            <w:drawing>
              <wp:anchor distT="0" distB="0" distL="114300" distR="114300" simplePos="0" relativeHeight="251657216" behindDoc="0" locked="0" layoutInCell="1" allowOverlap="1" wp14:anchorId="36E34EAA" wp14:editId="494DA673">
                <wp:simplePos x="0" y="0"/>
                <wp:positionH relativeFrom="column">
                  <wp:posOffset>-67945</wp:posOffset>
                </wp:positionH>
                <wp:positionV relativeFrom="paragraph">
                  <wp:posOffset>-445135</wp:posOffset>
                </wp:positionV>
                <wp:extent cx="852170" cy="716280"/>
                <wp:effectExtent l="0" t="0" r="5080" b="7620"/>
                <wp:wrapNone/>
                <wp:docPr id="3" name="Picture 3" descr="C:\Users\kak292\AppData\Local\Microsoft\Windows\Temporary Internet Files\Content.Outlook\BO0DTJRI\northwestern-thumb.jpg"/>
                <wp:cNvGraphicFramePr/>
                <a:graphic xmlns:a="http://schemas.openxmlformats.org/drawingml/2006/main">
                  <a:graphicData uri="http://schemas.openxmlformats.org/drawingml/2006/picture">
                    <pic:pic xmlns:pic="http://schemas.openxmlformats.org/drawingml/2006/picture">
                      <pic:nvPicPr>
                        <pic:cNvPr id="2" name="Picture 1" descr="C:\Users\kak292\AppData\Local\Microsoft\Windows\Temporary Internet Files\Content.Outlook\BO0DTJRI\northwestern-thum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17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4" w:type="pct"/>
          <w:tcBorders>
            <w:top w:val="nil"/>
            <w:left w:val="single" w:sz="8" w:space="0" w:color="auto"/>
            <w:bottom w:val="single" w:sz="8" w:space="0" w:color="auto"/>
            <w:right w:val="single" w:sz="8" w:space="0" w:color="auto"/>
          </w:tcBorders>
          <w:shd w:val="clear" w:color="auto" w:fill="auto"/>
          <w:vAlign w:val="center"/>
          <w:hideMark/>
        </w:tcPr>
        <w:p w14:paraId="01CD2FFC" w14:textId="77777777" w:rsidR="004000D6" w:rsidRPr="004000D6" w:rsidRDefault="00B542B6" w:rsidP="00B82B21">
          <w:pPr>
            <w:jc w:val="center"/>
            <w:rPr>
              <w:rFonts w:ascii="Arial" w:hAnsi="Arial" w:cs="Arial"/>
              <w:color w:val="000000"/>
              <w:sz w:val="18"/>
              <w:szCs w:val="18"/>
            </w:rPr>
          </w:pPr>
          <w:r>
            <w:rPr>
              <w:rFonts w:ascii="Arial" w:hAnsi="Arial" w:cs="Arial"/>
              <w:color w:val="000000"/>
              <w:sz w:val="18"/>
              <w:szCs w:val="18"/>
            </w:rPr>
            <w:t>HRP-</w:t>
          </w:r>
          <w:r w:rsidR="009C6800">
            <w:rPr>
              <w:rFonts w:ascii="Arial" w:hAnsi="Arial" w:cs="Arial"/>
              <w:color w:val="000000"/>
              <w:sz w:val="18"/>
              <w:szCs w:val="18"/>
            </w:rPr>
            <w:t>335</w:t>
          </w:r>
        </w:p>
      </w:tc>
      <w:tc>
        <w:tcPr>
          <w:tcW w:w="1381" w:type="pct"/>
          <w:tcBorders>
            <w:top w:val="nil"/>
            <w:left w:val="nil"/>
            <w:bottom w:val="single" w:sz="8" w:space="0" w:color="auto"/>
            <w:right w:val="single" w:sz="8" w:space="0" w:color="auto"/>
          </w:tcBorders>
          <w:shd w:val="clear" w:color="auto" w:fill="auto"/>
          <w:vAlign w:val="center"/>
          <w:hideMark/>
        </w:tcPr>
        <w:p w14:paraId="37B67DCF" w14:textId="77777777" w:rsidR="004000D6" w:rsidRPr="004000D6" w:rsidRDefault="009C6800" w:rsidP="004000D6">
          <w:pPr>
            <w:jc w:val="center"/>
            <w:rPr>
              <w:rFonts w:ascii="Arial" w:hAnsi="Arial" w:cs="Arial"/>
              <w:color w:val="000000"/>
              <w:sz w:val="18"/>
              <w:szCs w:val="18"/>
            </w:rPr>
          </w:pPr>
          <w:r w:rsidRPr="009C6800">
            <w:rPr>
              <w:rFonts w:ascii="Arial" w:hAnsi="Arial" w:cs="Arial"/>
              <w:color w:val="000000"/>
              <w:sz w:val="18"/>
              <w:szCs w:val="18"/>
            </w:rPr>
            <w:t>Executive Director, IRB Office Northwestern University</w:t>
          </w:r>
        </w:p>
      </w:tc>
      <w:tc>
        <w:tcPr>
          <w:tcW w:w="1042" w:type="pct"/>
          <w:tcBorders>
            <w:top w:val="nil"/>
            <w:left w:val="nil"/>
            <w:bottom w:val="single" w:sz="8" w:space="0" w:color="auto"/>
            <w:right w:val="single" w:sz="8" w:space="0" w:color="auto"/>
          </w:tcBorders>
          <w:shd w:val="clear" w:color="auto" w:fill="auto"/>
          <w:vAlign w:val="center"/>
          <w:hideMark/>
        </w:tcPr>
        <w:p w14:paraId="6F054EEE" w14:textId="40E76AE3" w:rsidR="004000D6" w:rsidRPr="004000D6" w:rsidRDefault="00754C15" w:rsidP="004000D6">
          <w:pPr>
            <w:jc w:val="center"/>
            <w:rPr>
              <w:rFonts w:ascii="Arial" w:hAnsi="Arial" w:cs="Arial"/>
              <w:color w:val="000000"/>
              <w:sz w:val="18"/>
              <w:szCs w:val="18"/>
            </w:rPr>
          </w:pPr>
          <w:r>
            <w:rPr>
              <w:rFonts w:ascii="Arial" w:hAnsi="Arial" w:cs="Arial"/>
              <w:color w:val="000000"/>
              <w:sz w:val="18"/>
              <w:szCs w:val="18"/>
            </w:rPr>
            <w:t>02/2</w:t>
          </w:r>
          <w:r w:rsidR="001557BE">
            <w:rPr>
              <w:rFonts w:ascii="Arial" w:hAnsi="Arial" w:cs="Arial"/>
              <w:color w:val="000000"/>
              <w:sz w:val="18"/>
              <w:szCs w:val="18"/>
            </w:rPr>
            <w:t>3</w:t>
          </w:r>
          <w:r>
            <w:rPr>
              <w:rFonts w:ascii="Arial" w:hAnsi="Arial" w:cs="Arial"/>
              <w:color w:val="000000"/>
              <w:sz w:val="18"/>
              <w:szCs w:val="18"/>
            </w:rPr>
            <w:t>/202</w:t>
          </w:r>
          <w:r w:rsidR="001557BE">
            <w:rPr>
              <w:rFonts w:ascii="Arial" w:hAnsi="Arial" w:cs="Arial"/>
              <w:color w:val="000000"/>
              <w:sz w:val="18"/>
              <w:szCs w:val="18"/>
            </w:rPr>
            <w:t>3</w:t>
          </w:r>
        </w:p>
      </w:tc>
      <w:tc>
        <w:tcPr>
          <w:tcW w:w="955" w:type="pct"/>
          <w:tcBorders>
            <w:top w:val="nil"/>
            <w:left w:val="nil"/>
            <w:bottom w:val="single" w:sz="8" w:space="0" w:color="auto"/>
            <w:right w:val="single" w:sz="8" w:space="0" w:color="auto"/>
          </w:tcBorders>
          <w:shd w:val="clear" w:color="auto" w:fill="auto"/>
          <w:vAlign w:val="center"/>
          <w:hideMark/>
        </w:tcPr>
        <w:sdt>
          <w:sdtPr>
            <w:rPr>
              <w:rFonts w:ascii="Arial" w:hAnsi="Arial" w:cs="Arial"/>
              <w:noProof/>
              <w:color w:val="000000"/>
              <w:sz w:val="18"/>
              <w:szCs w:val="18"/>
            </w:rPr>
            <w:id w:val="98381352"/>
            <w:docPartObj>
              <w:docPartGallery w:val="Page Numbers (Top of Page)"/>
              <w:docPartUnique/>
            </w:docPartObj>
          </w:sdtPr>
          <w:sdtEndPr/>
          <w:sdtContent>
            <w:p w14:paraId="39B20469" w14:textId="77777777" w:rsidR="004000D6" w:rsidRPr="004000D6" w:rsidRDefault="004000D6" w:rsidP="004000D6">
              <w:pPr>
                <w:ind w:left="-143"/>
                <w:jc w:val="center"/>
                <w:rPr>
                  <w:rFonts w:ascii="Arial" w:hAnsi="Arial" w:cs="Arial"/>
                  <w:noProof/>
                  <w:color w:val="000000"/>
                  <w:sz w:val="18"/>
                  <w:szCs w:val="18"/>
                </w:rPr>
              </w:pPr>
              <w:r w:rsidRPr="004000D6">
                <w:rPr>
                  <w:rFonts w:ascii="Arial" w:hAnsi="Arial" w:cs="Arial"/>
                  <w:noProof/>
                  <w:color w:val="000000"/>
                  <w:sz w:val="18"/>
                  <w:szCs w:val="18"/>
                </w:rPr>
                <w:t xml:space="preserve">Page </w:t>
              </w:r>
              <w:r w:rsidRPr="004000D6">
                <w:rPr>
                  <w:rFonts w:ascii="Arial" w:hAnsi="Arial" w:cs="Arial"/>
                  <w:bCs/>
                  <w:noProof/>
                  <w:color w:val="000000"/>
                  <w:sz w:val="18"/>
                  <w:szCs w:val="18"/>
                </w:rPr>
                <w:fldChar w:fldCharType="begin"/>
              </w:r>
              <w:r w:rsidRPr="004000D6">
                <w:rPr>
                  <w:rFonts w:ascii="Arial" w:hAnsi="Arial" w:cs="Arial"/>
                  <w:bCs/>
                  <w:noProof/>
                  <w:color w:val="000000"/>
                  <w:sz w:val="18"/>
                  <w:szCs w:val="18"/>
                </w:rPr>
                <w:instrText xml:space="preserve"> PAGE </w:instrText>
              </w:r>
              <w:r w:rsidRPr="004000D6">
                <w:rPr>
                  <w:rFonts w:ascii="Arial" w:hAnsi="Arial" w:cs="Arial"/>
                  <w:bCs/>
                  <w:noProof/>
                  <w:color w:val="000000"/>
                  <w:sz w:val="18"/>
                  <w:szCs w:val="18"/>
                </w:rPr>
                <w:fldChar w:fldCharType="separate"/>
              </w:r>
              <w:r w:rsidR="00754C15">
                <w:rPr>
                  <w:rFonts w:ascii="Arial" w:hAnsi="Arial" w:cs="Arial"/>
                  <w:bCs/>
                  <w:noProof/>
                  <w:color w:val="000000"/>
                  <w:sz w:val="18"/>
                  <w:szCs w:val="18"/>
                </w:rPr>
                <w:t>1</w:t>
              </w:r>
              <w:r w:rsidRPr="004000D6">
                <w:rPr>
                  <w:rFonts w:ascii="Arial" w:hAnsi="Arial" w:cs="Arial"/>
                  <w:noProof/>
                  <w:color w:val="000000"/>
                  <w:sz w:val="18"/>
                  <w:szCs w:val="18"/>
                </w:rPr>
                <w:fldChar w:fldCharType="end"/>
              </w:r>
              <w:r w:rsidRPr="004000D6">
                <w:rPr>
                  <w:rFonts w:ascii="Arial" w:hAnsi="Arial" w:cs="Arial"/>
                  <w:noProof/>
                  <w:color w:val="000000"/>
                  <w:sz w:val="18"/>
                  <w:szCs w:val="18"/>
                </w:rPr>
                <w:t xml:space="preserve"> of </w:t>
              </w:r>
              <w:r w:rsidRPr="004000D6">
                <w:rPr>
                  <w:rFonts w:ascii="Arial" w:hAnsi="Arial" w:cs="Arial"/>
                  <w:bCs/>
                  <w:noProof/>
                  <w:color w:val="000000"/>
                  <w:sz w:val="18"/>
                  <w:szCs w:val="18"/>
                </w:rPr>
                <w:fldChar w:fldCharType="begin"/>
              </w:r>
              <w:r w:rsidRPr="004000D6">
                <w:rPr>
                  <w:rFonts w:ascii="Arial" w:hAnsi="Arial" w:cs="Arial"/>
                  <w:bCs/>
                  <w:noProof/>
                  <w:color w:val="000000"/>
                  <w:sz w:val="18"/>
                  <w:szCs w:val="18"/>
                </w:rPr>
                <w:instrText xml:space="preserve"> NUMPAGES  </w:instrText>
              </w:r>
              <w:r w:rsidRPr="004000D6">
                <w:rPr>
                  <w:rFonts w:ascii="Arial" w:hAnsi="Arial" w:cs="Arial"/>
                  <w:bCs/>
                  <w:noProof/>
                  <w:color w:val="000000"/>
                  <w:sz w:val="18"/>
                  <w:szCs w:val="18"/>
                </w:rPr>
                <w:fldChar w:fldCharType="separate"/>
              </w:r>
              <w:r w:rsidR="00754C15">
                <w:rPr>
                  <w:rFonts w:ascii="Arial" w:hAnsi="Arial" w:cs="Arial"/>
                  <w:bCs/>
                  <w:noProof/>
                  <w:color w:val="000000"/>
                  <w:sz w:val="18"/>
                  <w:szCs w:val="18"/>
                </w:rPr>
                <w:t>1</w:t>
              </w:r>
              <w:r w:rsidRPr="004000D6">
                <w:rPr>
                  <w:rFonts w:ascii="Arial" w:hAnsi="Arial" w:cs="Arial"/>
                  <w:noProof/>
                  <w:color w:val="000000"/>
                  <w:sz w:val="18"/>
                  <w:szCs w:val="18"/>
                </w:rPr>
                <w:fldChar w:fldCharType="end"/>
              </w:r>
            </w:p>
          </w:sdtContent>
        </w:sdt>
      </w:tc>
    </w:tr>
  </w:tbl>
  <w:p w14:paraId="67AE22C1" w14:textId="77777777" w:rsidR="003E6066" w:rsidRPr="00321577" w:rsidRDefault="003E606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20C5" w14:textId="77777777" w:rsidR="001557BE" w:rsidRDefault="00155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AE40EE"/>
    <w:multiLevelType w:val="hybridMultilevel"/>
    <w:tmpl w:val="F8C091F2"/>
    <w:lvl w:ilvl="0" w:tplc="9B7EC148">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1457A5"/>
    <w:multiLevelType w:val="hybridMultilevel"/>
    <w:tmpl w:val="372AA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E839B0"/>
    <w:multiLevelType w:val="hybridMultilevel"/>
    <w:tmpl w:val="33E66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A1300"/>
    <w:multiLevelType w:val="hybridMultilevel"/>
    <w:tmpl w:val="4912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D4D01"/>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35851768">
    <w:abstractNumId w:val="20"/>
  </w:num>
  <w:num w:numId="2" w16cid:durableId="1819957600">
    <w:abstractNumId w:val="10"/>
  </w:num>
  <w:num w:numId="3" w16cid:durableId="1129863477">
    <w:abstractNumId w:val="21"/>
  </w:num>
  <w:num w:numId="4" w16cid:durableId="128480937">
    <w:abstractNumId w:val="9"/>
  </w:num>
  <w:num w:numId="5" w16cid:durableId="2137411885">
    <w:abstractNumId w:val="7"/>
  </w:num>
  <w:num w:numId="6" w16cid:durableId="1089160956">
    <w:abstractNumId w:val="6"/>
  </w:num>
  <w:num w:numId="7" w16cid:durableId="312370567">
    <w:abstractNumId w:val="5"/>
  </w:num>
  <w:num w:numId="8" w16cid:durableId="367416776">
    <w:abstractNumId w:val="4"/>
  </w:num>
  <w:num w:numId="9" w16cid:durableId="761342079">
    <w:abstractNumId w:val="8"/>
  </w:num>
  <w:num w:numId="10" w16cid:durableId="1347947426">
    <w:abstractNumId w:val="3"/>
  </w:num>
  <w:num w:numId="11" w16cid:durableId="709066641">
    <w:abstractNumId w:val="2"/>
  </w:num>
  <w:num w:numId="12" w16cid:durableId="117378645">
    <w:abstractNumId w:val="1"/>
  </w:num>
  <w:num w:numId="13" w16cid:durableId="668751386">
    <w:abstractNumId w:val="0"/>
  </w:num>
  <w:num w:numId="14" w16cid:durableId="1128071">
    <w:abstractNumId w:val="19"/>
  </w:num>
  <w:num w:numId="15" w16cid:durableId="1680887891">
    <w:abstractNumId w:val="22"/>
  </w:num>
  <w:num w:numId="16" w16cid:durableId="1824084108">
    <w:abstractNumId w:val="29"/>
  </w:num>
  <w:num w:numId="17" w16cid:durableId="323708584">
    <w:abstractNumId w:val="13"/>
  </w:num>
  <w:num w:numId="18" w16cid:durableId="2052606539">
    <w:abstractNumId w:val="28"/>
  </w:num>
  <w:num w:numId="19" w16cid:durableId="1866871027">
    <w:abstractNumId w:val="26"/>
  </w:num>
  <w:num w:numId="20" w16cid:durableId="854416282">
    <w:abstractNumId w:val="23"/>
  </w:num>
  <w:num w:numId="21" w16cid:durableId="450979221">
    <w:abstractNumId w:val="30"/>
  </w:num>
  <w:num w:numId="22" w16cid:durableId="301036681">
    <w:abstractNumId w:val="16"/>
  </w:num>
  <w:num w:numId="23" w16cid:durableId="646395158">
    <w:abstractNumId w:val="12"/>
  </w:num>
  <w:num w:numId="24" w16cid:durableId="1621645284">
    <w:abstractNumId w:val="33"/>
  </w:num>
  <w:num w:numId="25" w16cid:durableId="725300565">
    <w:abstractNumId w:val="15"/>
  </w:num>
  <w:num w:numId="26" w16cid:durableId="1926063216">
    <w:abstractNumId w:val="19"/>
  </w:num>
  <w:num w:numId="27" w16cid:durableId="524947734">
    <w:abstractNumId w:val="31"/>
  </w:num>
  <w:num w:numId="28" w16cid:durableId="507141270">
    <w:abstractNumId w:val="19"/>
  </w:num>
  <w:num w:numId="29" w16cid:durableId="2013490517">
    <w:abstractNumId w:val="19"/>
  </w:num>
  <w:num w:numId="30" w16cid:durableId="1684279067">
    <w:abstractNumId w:val="19"/>
  </w:num>
  <w:num w:numId="31" w16cid:durableId="162665629">
    <w:abstractNumId w:val="19"/>
  </w:num>
  <w:num w:numId="32" w16cid:durableId="121966326">
    <w:abstractNumId w:val="19"/>
  </w:num>
  <w:num w:numId="33" w16cid:durableId="2097365574">
    <w:abstractNumId w:val="17"/>
  </w:num>
  <w:num w:numId="34" w16cid:durableId="494154335">
    <w:abstractNumId w:val="19"/>
  </w:num>
  <w:num w:numId="35" w16cid:durableId="1011876101">
    <w:abstractNumId w:val="18"/>
  </w:num>
  <w:num w:numId="36" w16cid:durableId="865413788">
    <w:abstractNumId w:val="27"/>
  </w:num>
  <w:num w:numId="37" w16cid:durableId="1233470270">
    <w:abstractNumId w:val="32"/>
  </w:num>
  <w:num w:numId="38" w16cid:durableId="88896068">
    <w:abstractNumId w:val="14"/>
  </w:num>
  <w:num w:numId="39" w16cid:durableId="1127822315">
    <w:abstractNumId w:val="24"/>
  </w:num>
  <w:num w:numId="40" w16cid:durableId="1154838100">
    <w:abstractNumId w:val="25"/>
  </w:num>
  <w:num w:numId="41" w16cid:durableId="241182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miOCjF4SRB8wQFQuUBjMflntGXDD3TPnGO6FKhNcIpZqCm/+q1F4UcOk8it7aw69YahHVey6IFcpbeXUZtyg==" w:salt="5uo9KRdMBW5Qe2MRtOyu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0D"/>
    <w:rsid w:val="00004062"/>
    <w:rsid w:val="000052AA"/>
    <w:rsid w:val="000232C8"/>
    <w:rsid w:val="00025D61"/>
    <w:rsid w:val="00026B20"/>
    <w:rsid w:val="0003657B"/>
    <w:rsid w:val="00065416"/>
    <w:rsid w:val="00071367"/>
    <w:rsid w:val="00074DA7"/>
    <w:rsid w:val="00076A61"/>
    <w:rsid w:val="00077C40"/>
    <w:rsid w:val="0008444C"/>
    <w:rsid w:val="000954C3"/>
    <w:rsid w:val="00096746"/>
    <w:rsid w:val="000B3CA3"/>
    <w:rsid w:val="000E0188"/>
    <w:rsid w:val="000F23A8"/>
    <w:rsid w:val="00110081"/>
    <w:rsid w:val="00111C70"/>
    <w:rsid w:val="00126A31"/>
    <w:rsid w:val="001276F1"/>
    <w:rsid w:val="00134274"/>
    <w:rsid w:val="0014440B"/>
    <w:rsid w:val="00146D15"/>
    <w:rsid w:val="001557BE"/>
    <w:rsid w:val="00173760"/>
    <w:rsid w:val="001804C9"/>
    <w:rsid w:val="00182BEF"/>
    <w:rsid w:val="0018724D"/>
    <w:rsid w:val="001872C6"/>
    <w:rsid w:val="00190A48"/>
    <w:rsid w:val="00194A43"/>
    <w:rsid w:val="001B56EF"/>
    <w:rsid w:val="001D7886"/>
    <w:rsid w:val="001E1E4F"/>
    <w:rsid w:val="001F3AE4"/>
    <w:rsid w:val="0022429B"/>
    <w:rsid w:val="002266CE"/>
    <w:rsid w:val="00252AEB"/>
    <w:rsid w:val="00255C00"/>
    <w:rsid w:val="00261FD9"/>
    <w:rsid w:val="0028771C"/>
    <w:rsid w:val="002A2D13"/>
    <w:rsid w:val="002A3F14"/>
    <w:rsid w:val="002B70F3"/>
    <w:rsid w:val="0030441F"/>
    <w:rsid w:val="00305112"/>
    <w:rsid w:val="003210F4"/>
    <w:rsid w:val="00321577"/>
    <w:rsid w:val="003279F1"/>
    <w:rsid w:val="00343E6F"/>
    <w:rsid w:val="00363C2A"/>
    <w:rsid w:val="00366646"/>
    <w:rsid w:val="003676AD"/>
    <w:rsid w:val="003743F6"/>
    <w:rsid w:val="00380737"/>
    <w:rsid w:val="00385636"/>
    <w:rsid w:val="00386207"/>
    <w:rsid w:val="00387E21"/>
    <w:rsid w:val="003E0CF4"/>
    <w:rsid w:val="003E0F02"/>
    <w:rsid w:val="003E1AF6"/>
    <w:rsid w:val="003E6066"/>
    <w:rsid w:val="004000D6"/>
    <w:rsid w:val="004113B3"/>
    <w:rsid w:val="004173F0"/>
    <w:rsid w:val="00431AF3"/>
    <w:rsid w:val="00436538"/>
    <w:rsid w:val="004366DB"/>
    <w:rsid w:val="004573E3"/>
    <w:rsid w:val="0046138D"/>
    <w:rsid w:val="004617B8"/>
    <w:rsid w:val="00464239"/>
    <w:rsid w:val="004945CB"/>
    <w:rsid w:val="004B67BF"/>
    <w:rsid w:val="004C2D84"/>
    <w:rsid w:val="004D2EA4"/>
    <w:rsid w:val="004D4477"/>
    <w:rsid w:val="004D572E"/>
    <w:rsid w:val="0050365E"/>
    <w:rsid w:val="005540BA"/>
    <w:rsid w:val="00585054"/>
    <w:rsid w:val="005B3C34"/>
    <w:rsid w:val="005C14F8"/>
    <w:rsid w:val="005E2B58"/>
    <w:rsid w:val="005E58A9"/>
    <w:rsid w:val="005F0E9A"/>
    <w:rsid w:val="005F4A60"/>
    <w:rsid w:val="00601E29"/>
    <w:rsid w:val="00610071"/>
    <w:rsid w:val="00624456"/>
    <w:rsid w:val="0065189E"/>
    <w:rsid w:val="00660C0B"/>
    <w:rsid w:val="00662B81"/>
    <w:rsid w:val="0069117E"/>
    <w:rsid w:val="006A7F27"/>
    <w:rsid w:val="006B6264"/>
    <w:rsid w:val="006E5F6E"/>
    <w:rsid w:val="006F592D"/>
    <w:rsid w:val="00712A0A"/>
    <w:rsid w:val="00716F6F"/>
    <w:rsid w:val="007279DC"/>
    <w:rsid w:val="00742BD0"/>
    <w:rsid w:val="007459E3"/>
    <w:rsid w:val="00745F5A"/>
    <w:rsid w:val="00746AEB"/>
    <w:rsid w:val="00751336"/>
    <w:rsid w:val="00754C15"/>
    <w:rsid w:val="00755189"/>
    <w:rsid w:val="00765B01"/>
    <w:rsid w:val="00765CA8"/>
    <w:rsid w:val="00772D9F"/>
    <w:rsid w:val="00773E40"/>
    <w:rsid w:val="00782308"/>
    <w:rsid w:val="00791ACD"/>
    <w:rsid w:val="00794F14"/>
    <w:rsid w:val="00795BCA"/>
    <w:rsid w:val="007A2C52"/>
    <w:rsid w:val="007B77C1"/>
    <w:rsid w:val="007C168D"/>
    <w:rsid w:val="007C57EA"/>
    <w:rsid w:val="007E47DA"/>
    <w:rsid w:val="007E7C27"/>
    <w:rsid w:val="007F54D0"/>
    <w:rsid w:val="0080695E"/>
    <w:rsid w:val="00807495"/>
    <w:rsid w:val="00837738"/>
    <w:rsid w:val="0084548C"/>
    <w:rsid w:val="00880C47"/>
    <w:rsid w:val="008B71A8"/>
    <w:rsid w:val="008C0DD4"/>
    <w:rsid w:val="008E0805"/>
    <w:rsid w:val="008E4602"/>
    <w:rsid w:val="008F1C9D"/>
    <w:rsid w:val="008F5702"/>
    <w:rsid w:val="009440A0"/>
    <w:rsid w:val="00944550"/>
    <w:rsid w:val="00944EDE"/>
    <w:rsid w:val="00977EBC"/>
    <w:rsid w:val="00995DBF"/>
    <w:rsid w:val="0099611B"/>
    <w:rsid w:val="009C6800"/>
    <w:rsid w:val="009D0795"/>
    <w:rsid w:val="009E5DFE"/>
    <w:rsid w:val="00A03417"/>
    <w:rsid w:val="00A05445"/>
    <w:rsid w:val="00A15051"/>
    <w:rsid w:val="00A203E7"/>
    <w:rsid w:val="00A36D83"/>
    <w:rsid w:val="00A41AA0"/>
    <w:rsid w:val="00A41E56"/>
    <w:rsid w:val="00A46200"/>
    <w:rsid w:val="00A530C4"/>
    <w:rsid w:val="00A56196"/>
    <w:rsid w:val="00A874C8"/>
    <w:rsid w:val="00A93AF4"/>
    <w:rsid w:val="00AB318C"/>
    <w:rsid w:val="00AB5B22"/>
    <w:rsid w:val="00AB6D9C"/>
    <w:rsid w:val="00AD4F01"/>
    <w:rsid w:val="00AD5394"/>
    <w:rsid w:val="00AE12D2"/>
    <w:rsid w:val="00AE1DBD"/>
    <w:rsid w:val="00AE240D"/>
    <w:rsid w:val="00AE2818"/>
    <w:rsid w:val="00AE6C05"/>
    <w:rsid w:val="00B014FE"/>
    <w:rsid w:val="00B0703F"/>
    <w:rsid w:val="00B10496"/>
    <w:rsid w:val="00B4278A"/>
    <w:rsid w:val="00B4283A"/>
    <w:rsid w:val="00B542B6"/>
    <w:rsid w:val="00B558C9"/>
    <w:rsid w:val="00B626CA"/>
    <w:rsid w:val="00B77112"/>
    <w:rsid w:val="00B82B21"/>
    <w:rsid w:val="00B86C18"/>
    <w:rsid w:val="00BA00A1"/>
    <w:rsid w:val="00BA3E29"/>
    <w:rsid w:val="00BB160D"/>
    <w:rsid w:val="00BB598C"/>
    <w:rsid w:val="00BC2C60"/>
    <w:rsid w:val="00BE0B19"/>
    <w:rsid w:val="00BE2CFD"/>
    <w:rsid w:val="00BE54A6"/>
    <w:rsid w:val="00BF50FE"/>
    <w:rsid w:val="00BF729D"/>
    <w:rsid w:val="00C00E36"/>
    <w:rsid w:val="00C0319E"/>
    <w:rsid w:val="00C04DA7"/>
    <w:rsid w:val="00C34714"/>
    <w:rsid w:val="00C51641"/>
    <w:rsid w:val="00C525E0"/>
    <w:rsid w:val="00C540A3"/>
    <w:rsid w:val="00C74A80"/>
    <w:rsid w:val="00C76D4E"/>
    <w:rsid w:val="00C93AEA"/>
    <w:rsid w:val="00C951C5"/>
    <w:rsid w:val="00C967E8"/>
    <w:rsid w:val="00CD1433"/>
    <w:rsid w:val="00CD2BEE"/>
    <w:rsid w:val="00D011CB"/>
    <w:rsid w:val="00D054B6"/>
    <w:rsid w:val="00D07AD8"/>
    <w:rsid w:val="00D07FEB"/>
    <w:rsid w:val="00D10A06"/>
    <w:rsid w:val="00D21E07"/>
    <w:rsid w:val="00D351C8"/>
    <w:rsid w:val="00D411A1"/>
    <w:rsid w:val="00D52EEA"/>
    <w:rsid w:val="00D576FF"/>
    <w:rsid w:val="00D67407"/>
    <w:rsid w:val="00DA1AFB"/>
    <w:rsid w:val="00DB3715"/>
    <w:rsid w:val="00DB3C26"/>
    <w:rsid w:val="00DC2F67"/>
    <w:rsid w:val="00DD0A9F"/>
    <w:rsid w:val="00DD56D5"/>
    <w:rsid w:val="00DE7DC9"/>
    <w:rsid w:val="00DF0371"/>
    <w:rsid w:val="00DF61C5"/>
    <w:rsid w:val="00E042C0"/>
    <w:rsid w:val="00E41274"/>
    <w:rsid w:val="00E5417B"/>
    <w:rsid w:val="00E56006"/>
    <w:rsid w:val="00E7368A"/>
    <w:rsid w:val="00E77BA3"/>
    <w:rsid w:val="00E8073F"/>
    <w:rsid w:val="00E83F23"/>
    <w:rsid w:val="00EC2A96"/>
    <w:rsid w:val="00EC68CB"/>
    <w:rsid w:val="00ED1665"/>
    <w:rsid w:val="00EF1B36"/>
    <w:rsid w:val="00EF4155"/>
    <w:rsid w:val="00F11C11"/>
    <w:rsid w:val="00F133CB"/>
    <w:rsid w:val="00F75C6A"/>
    <w:rsid w:val="00F773C1"/>
    <w:rsid w:val="00F77F93"/>
    <w:rsid w:val="00F90C29"/>
    <w:rsid w:val="00F923CC"/>
    <w:rsid w:val="00FC39F1"/>
    <w:rsid w:val="00FC4DBE"/>
    <w:rsid w:val="00FD7409"/>
    <w:rsid w:val="00FE0F6D"/>
    <w:rsid w:val="00FE27C6"/>
    <w:rsid w:val="00FF13B5"/>
    <w:rsid w:val="00FF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9E4B99"/>
  <w15:docId w15:val="{F445CCF9-64B0-4849-A903-D34475B0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C52"/>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7A2C52"/>
  </w:style>
  <w:style w:type="character" w:customStyle="1" w:styleId="StatementLevel1Char">
    <w:name w:val="Statement Level 1 Char"/>
    <w:link w:val="StatementLevel1"/>
    <w:rsid w:val="007A2C52"/>
    <w:rPr>
      <w:rFonts w:ascii="Arial Narrow" w:hAnsi="Arial Narrow"/>
      <w:szCs w:val="24"/>
      <w:lang w:val="en-US" w:eastAsia="en-US" w:bidi="ar-SA"/>
    </w:rPr>
  </w:style>
  <w:style w:type="paragraph" w:customStyle="1" w:styleId="Yes-No">
    <w:name w:val="Yes-No"/>
    <w:basedOn w:val="StatementLevel1"/>
    <w:rsid w:val="007A2C52"/>
    <w:pPr>
      <w:tabs>
        <w:tab w:val="left" w:pos="720"/>
      </w:tabs>
    </w:pPr>
    <w:rPr>
      <w:b/>
    </w:rPr>
  </w:style>
  <w:style w:type="paragraph" w:customStyle="1" w:styleId="SOPFooter">
    <w:name w:val="SOP Footer"/>
    <w:basedOn w:val="Normal"/>
    <w:rsid w:val="00C951C5"/>
    <w:pPr>
      <w:jc w:val="center"/>
    </w:pPr>
    <w:rPr>
      <w:rFonts w:ascii="Arial" w:hAnsi="Arial" w:cs="Tahoma"/>
      <w:sz w:val="16"/>
      <w:szCs w:val="20"/>
    </w:rPr>
  </w:style>
  <w:style w:type="character" w:customStyle="1" w:styleId="SOPLeader">
    <w:name w:val="SOP Leader"/>
    <w:rsid w:val="001276F1"/>
    <w:rPr>
      <w:rFonts w:ascii="Calibri" w:hAnsi="Calibri"/>
      <w:b/>
      <w:sz w:val="24"/>
    </w:rPr>
  </w:style>
  <w:style w:type="paragraph" w:customStyle="1" w:styleId="SOPName">
    <w:name w:val="SOP Name"/>
    <w:basedOn w:val="Normal"/>
    <w:rsid w:val="001276F1"/>
    <w:rPr>
      <w:rFonts w:ascii="Calibri" w:hAnsi="Calibri" w:cs="Tahoma"/>
      <w:szCs w:val="20"/>
    </w:rPr>
  </w:style>
  <w:style w:type="paragraph" w:customStyle="1" w:styleId="SOPTableHeader">
    <w:name w:val="SOP Table Header"/>
    <w:basedOn w:val="Normal"/>
    <w:rsid w:val="001276F1"/>
    <w:pPr>
      <w:jc w:val="center"/>
    </w:pPr>
    <w:rPr>
      <w:rFonts w:ascii="Calibri" w:hAnsi="Calibri" w:cs="Tahoma"/>
      <w:sz w:val="20"/>
      <w:szCs w:val="20"/>
    </w:rPr>
  </w:style>
  <w:style w:type="paragraph" w:customStyle="1" w:styleId="SOPTableEntry">
    <w:name w:val="SOP Table Entry"/>
    <w:basedOn w:val="SOPTableHeader"/>
    <w:rsid w:val="001276F1"/>
    <w:rPr>
      <w:sz w:val="18"/>
    </w:rPr>
  </w:style>
  <w:style w:type="paragraph" w:styleId="BalloonText">
    <w:name w:val="Balloon Text"/>
    <w:basedOn w:val="Normal"/>
    <w:link w:val="BalloonTextChar"/>
    <w:rsid w:val="00F923CC"/>
    <w:rPr>
      <w:rFonts w:ascii="Tahoma" w:hAnsi="Tahoma" w:cs="Tahoma"/>
      <w:sz w:val="16"/>
      <w:szCs w:val="16"/>
    </w:rPr>
  </w:style>
  <w:style w:type="character" w:customStyle="1" w:styleId="BalloonTextChar">
    <w:name w:val="Balloon Text Char"/>
    <w:basedOn w:val="DefaultParagraphFont"/>
    <w:link w:val="BalloonText"/>
    <w:rsid w:val="00F923CC"/>
    <w:rPr>
      <w:rFonts w:ascii="Tahoma" w:hAnsi="Tahoma" w:cs="Tahoma"/>
      <w:sz w:val="16"/>
      <w:szCs w:val="16"/>
    </w:rPr>
  </w:style>
  <w:style w:type="character" w:customStyle="1" w:styleId="ChecklistBasisChar">
    <w:name w:val="Checklist Basis Char"/>
    <w:link w:val="ChecklistBasis"/>
    <w:rsid w:val="004B67BF"/>
    <w:rPr>
      <w:rFonts w:ascii="Arial Narrow" w:hAnsi="Arial Narrow"/>
      <w:szCs w:val="24"/>
    </w:rPr>
  </w:style>
  <w:style w:type="paragraph" w:customStyle="1" w:styleId="MediumGrid1-Accent21">
    <w:name w:val="Medium Grid 1 - Accent 21"/>
    <w:basedOn w:val="Normal"/>
    <w:uiPriority w:val="34"/>
    <w:qFormat/>
    <w:rsid w:val="00B542B6"/>
    <w:pPr>
      <w:ind w:left="72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us-e1.wpmucdn.com/sites.northwestern.edu/dist/4/1207/files/2020/02/research-data-policy.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olicies.northwestern.edu/docs/RUR_Appendix_A061913.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15" ma:contentTypeDescription="Create a new document." ma:contentTypeScope="" ma:versionID="a668aee224a09124b7288458c5a39a0f">
  <xsd:schema xmlns:xsd="http://www.w3.org/2001/XMLSchema" xmlns:xs="http://www.w3.org/2001/XMLSchema" xmlns:p="http://schemas.microsoft.com/office/2006/metadata/properties" xmlns:ns2="00b6f91f-ed03-4165-8b01-1890540ffe91" xmlns:ns3="437a914d-84b2-4340-8af1-1ccba030c5ae" xmlns:ns4="efce84db-8738-4c7b-9bdc-65b9500871f6" targetNamespace="http://schemas.microsoft.com/office/2006/metadata/properties" ma:root="true" ma:fieldsID="96c9472eb2698dcde427155b908e5da9" ns2:_="" ns3:_="" ns4:_="">
    <xsd:import namespace="00b6f91f-ed03-4165-8b01-1890540ffe91"/>
    <xsd:import namespace="437a914d-84b2-4340-8af1-1ccba030c5ae"/>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274664d-fb22-489a-9831-4a209a833dee}" ma:internalName="TaxCatchAll" ma:showField="CatchAllData" ma:web="437a914d-84b2-4340-8af1-1ccba030c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30AD2-4003-4B7E-8958-698C27B81E5F}"/>
</file>

<file path=customXml/itemProps2.xml><?xml version="1.0" encoding="utf-8"?>
<ds:datastoreItem xmlns:ds="http://schemas.openxmlformats.org/officeDocument/2006/customXml" ds:itemID="{473EBC08-06C9-446B-87A2-CFAC0E9614D0}"/>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WORKSHEET: Advertisements</vt:lpstr>
    </vt:vector>
  </TitlesOfParts>
  <Manager>Huron Consulting Group, Inc.</Manager>
  <Company>Huron Consulting Group, Inc.</Company>
  <LinksUpToDate>false</LinksUpToDate>
  <CharactersWithSpaces>5278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Advertisements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Brittane Suzanne Foy</cp:lastModifiedBy>
  <cp:revision>2</cp:revision>
  <cp:lastPrinted>2018-03-28T16:53:00Z</cp:lastPrinted>
  <dcterms:created xsi:type="dcterms:W3CDTF">2023-02-14T21:21:00Z</dcterms:created>
  <dcterms:modified xsi:type="dcterms:W3CDTF">2023-02-14T21:21:00Z</dcterms:modified>
  <cp:category>WORKSHEET</cp:category>
</cp:coreProperties>
</file>